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jc w:val="center"/>
      </w:pPr>
      <w:bookmarkStart w:id="0" w:name="_Toc24105715"/>
      <w:r>
        <w:rPr>
          <w:rFonts w:hint="eastAsia"/>
        </w:rPr>
        <w:t>新城疫病毒危害评估报告</w:t>
      </w:r>
      <w:bookmarkEnd w:id="0"/>
    </w:p>
    <w:p>
      <w:pPr>
        <w:autoSpaceDE w:val="0"/>
        <w:autoSpaceDN w:val="0"/>
        <w:adjustRightInd w:val="0"/>
        <w:spacing w:line="360" w:lineRule="auto"/>
        <w:jc w:val="left"/>
      </w:pPr>
      <w:r>
        <w:rPr>
          <w:rFonts w:hint="eastAsia" w:ascii="Times New Roman" w:hAnsi="Times New Roman" w:cs="Times New Roman" w:eastAsiaTheme="minorEastAsia"/>
          <w:b/>
          <w:sz w:val="28"/>
          <w:szCs w:val="28"/>
          <w:highlight w:val="red"/>
          <w:lang w:val="en-US" w:eastAsia="zh-CN"/>
        </w:rPr>
        <w:t>（以下为示例格式及内容，请每个实验室按照自身真实情况撰写）</w:t>
      </w:r>
    </w:p>
    <w:p>
      <w:pPr>
        <w:numPr>
          <w:ilvl w:val="0"/>
          <w:numId w:val="1"/>
        </w:numPr>
        <w:spacing w:line="360" w:lineRule="auto"/>
        <w:rPr>
          <w:rFonts w:ascii="宋体" w:hAnsi="宋体" w:cs="宋体"/>
          <w:kern w:val="0"/>
          <w:sz w:val="24"/>
        </w:rPr>
      </w:pPr>
      <w:r>
        <w:rPr>
          <w:rFonts w:hint="eastAsia" w:ascii="宋体" w:hAnsi="宋体" w:cs="宋体"/>
          <w:b/>
          <w:kern w:val="0"/>
          <w:sz w:val="24"/>
        </w:rPr>
        <w:t>评估目的与依据</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为确保人员、实验室以及样本的生物安全，依据《病原微生物实验室生物安全管理条例》</w:t>
      </w:r>
      <w:r>
        <w:rPr>
          <w:rFonts w:hint="eastAsia" w:ascii="宋体" w:hAnsi="宋体" w:cs="宋体"/>
          <w:kern w:val="0"/>
          <w:sz w:val="24"/>
          <w:vertAlign w:val="superscript"/>
        </w:rPr>
        <w:t>[1]</w:t>
      </w:r>
      <w:r>
        <w:rPr>
          <w:rFonts w:hint="eastAsia" w:ascii="宋体" w:hAnsi="宋体" w:cs="宋体"/>
          <w:kern w:val="0"/>
          <w:sz w:val="24"/>
        </w:rPr>
        <w:t>、《医疗废物管理条例》</w:t>
      </w:r>
      <w:r>
        <w:rPr>
          <w:rFonts w:hint="eastAsia" w:ascii="宋体" w:hAnsi="宋体" w:cs="宋体"/>
          <w:kern w:val="0"/>
          <w:sz w:val="24"/>
          <w:vertAlign w:val="superscript"/>
        </w:rPr>
        <w:t>[2]</w:t>
      </w:r>
      <w:r>
        <w:rPr>
          <w:rFonts w:hint="eastAsia" w:ascii="宋体" w:hAnsi="宋体" w:cs="宋体"/>
          <w:kern w:val="0"/>
          <w:sz w:val="24"/>
        </w:rPr>
        <w:t>、《实验室生物安全通用要求》</w:t>
      </w:r>
      <w:r>
        <w:rPr>
          <w:rFonts w:hint="eastAsia" w:ascii="宋体" w:hAnsi="宋体" w:cs="宋体"/>
          <w:kern w:val="0"/>
          <w:sz w:val="24"/>
          <w:vertAlign w:val="superscript"/>
        </w:rPr>
        <w:t>[3]</w:t>
      </w:r>
      <w:r>
        <w:rPr>
          <w:rFonts w:hint="eastAsia" w:ascii="宋体" w:hAnsi="宋体" w:cs="宋体"/>
          <w:kern w:val="0"/>
          <w:sz w:val="24"/>
        </w:rPr>
        <w:t>（GB19489）等相关法律、法规及标准，对实验室检测疑似新城疫病毒感染样本的相关实验室活动过程进行生物安全风险评估，作为编制作业指导书和日常生物安全管理的依据。</w:t>
      </w:r>
    </w:p>
    <w:p>
      <w:pPr>
        <w:numPr>
          <w:ilvl w:val="0"/>
          <w:numId w:val="1"/>
        </w:numPr>
        <w:spacing w:line="360" w:lineRule="auto"/>
        <w:rPr>
          <w:rFonts w:ascii="宋体" w:hAnsi="宋体" w:cs="宋体"/>
          <w:b/>
          <w:kern w:val="0"/>
          <w:sz w:val="24"/>
        </w:rPr>
      </w:pPr>
      <w:r>
        <w:rPr>
          <w:rFonts w:hint="eastAsia" w:ascii="宋体" w:hAnsi="宋体" w:cs="宋体"/>
          <w:b/>
          <w:kern w:val="0"/>
          <w:sz w:val="24"/>
        </w:rPr>
        <w:t>感染因子</w:t>
      </w:r>
    </w:p>
    <w:p>
      <w:pPr>
        <w:spacing w:line="360" w:lineRule="auto"/>
        <w:rPr>
          <w:rFonts w:ascii="宋体" w:hAnsi="宋体" w:cs="宋体"/>
          <w:kern w:val="0"/>
          <w:sz w:val="24"/>
        </w:rPr>
      </w:pPr>
      <w:r>
        <w:rPr>
          <w:rFonts w:hint="eastAsia" w:ascii="宋体" w:hAnsi="宋体" w:cs="宋体"/>
          <w:kern w:val="0"/>
          <w:sz w:val="24"/>
        </w:rPr>
        <w:t xml:space="preserve">    新城疫病毒（</w:t>
      </w:r>
      <w:r>
        <w:fldChar w:fldCharType="begin"/>
      </w:r>
      <w:r>
        <w:instrText xml:space="preserve"> HYPERLINK "http://www.baidu.com/link?url=fSsV3W0DXi46fvlh4uMLaw0dOwCR9J312G0ZPk_fgH6aFNt0pLtSHmd4T51fdAPyGkm66xzFUB81_irim_ya-ApFjL3G-QLSP5qxC5JpUobwTjPJPDUY12fNZtE0EGL2vOEsfjPRhiC6j5FS7jWx3K" \t "_blank" </w:instrText>
      </w:r>
      <w:r>
        <w:fldChar w:fldCharType="separate"/>
      </w:r>
      <w:r>
        <w:rPr>
          <w:rFonts w:ascii="宋体" w:hAnsi="宋体" w:cs="宋体"/>
          <w:kern w:val="0"/>
          <w:sz w:val="24"/>
        </w:rPr>
        <w:t>Newcastle disease virus</w:t>
      </w:r>
      <w:r>
        <w:rPr>
          <w:rFonts w:hint="eastAsia" w:ascii="宋体" w:hAnsi="宋体" w:cs="宋体"/>
          <w:kern w:val="0"/>
          <w:sz w:val="24"/>
        </w:rPr>
        <w:t>,</w:t>
      </w:r>
      <w:r>
        <w:rPr>
          <w:rFonts w:ascii="宋体" w:hAnsi="宋体" w:cs="宋体"/>
          <w:kern w:val="0"/>
          <w:sz w:val="24"/>
        </w:rPr>
        <w:t>NDV</w:t>
      </w:r>
      <w:r>
        <w:rPr>
          <w:rFonts w:ascii="宋体" w:hAnsi="宋体" w:cs="宋体"/>
          <w:kern w:val="0"/>
          <w:sz w:val="24"/>
        </w:rPr>
        <w:fldChar w:fldCharType="end"/>
      </w:r>
      <w:r>
        <w:rPr>
          <w:rFonts w:hint="eastAsia" w:ascii="宋体" w:hAnsi="宋体" w:cs="宋体"/>
          <w:kern w:val="0"/>
          <w:sz w:val="24"/>
        </w:rPr>
        <w:t>）。</w:t>
      </w:r>
    </w:p>
    <w:p>
      <w:pPr>
        <w:spacing w:line="360" w:lineRule="auto"/>
        <w:ind w:firstLine="480"/>
        <w:rPr>
          <w:rFonts w:hint="eastAsia" w:ascii="宋体" w:hAnsi="宋体" w:cs="宋体"/>
          <w:kern w:val="0"/>
          <w:sz w:val="24"/>
        </w:rPr>
      </w:pPr>
      <w:r>
        <w:rPr>
          <w:rFonts w:hint="eastAsia" w:ascii="宋体" w:hAnsi="宋体" w:cs="宋体"/>
          <w:kern w:val="0"/>
          <w:sz w:val="24"/>
        </w:rPr>
        <w:t>病原学特点：新城疫病毒为副黏病毒科禽腮腺炎病毒属（Avulavirus）的禽副黏病毒I型（APMV-1</w:t>
      </w:r>
      <w:r>
        <w:rPr>
          <w:rFonts w:ascii="宋体" w:hAnsi="宋体" w:cs="宋体"/>
          <w:kern w:val="0"/>
          <w:sz w:val="24"/>
        </w:rPr>
        <w:t>）</w:t>
      </w:r>
      <w:r>
        <w:rPr>
          <w:rFonts w:hint="eastAsia" w:ascii="宋体" w:hAnsi="宋体" w:cs="宋体"/>
          <w:kern w:val="0"/>
          <w:sz w:val="24"/>
        </w:rPr>
        <w:t>。</w:t>
      </w:r>
    </w:p>
    <w:p>
      <w:pPr>
        <w:spacing w:line="360" w:lineRule="auto"/>
        <w:rPr>
          <w:rFonts w:ascii="宋体" w:hAnsi="宋体" w:cs="宋体"/>
          <w:kern w:val="0"/>
          <w:sz w:val="24"/>
        </w:rPr>
      </w:pPr>
      <w:bookmarkStart w:id="1" w:name="_GoBack"/>
      <w:bookmarkEnd w:id="1"/>
      <w:r>
        <w:rPr>
          <w:rFonts w:hint="eastAsia" w:ascii="宋体" w:hAnsi="宋体" w:cs="宋体"/>
          <w:b/>
          <w:bCs/>
          <w:kern w:val="0"/>
          <w:sz w:val="24"/>
        </w:rPr>
        <w:t>2.1 致病性：</w:t>
      </w:r>
      <w:r>
        <w:rPr>
          <w:rFonts w:hint="eastAsia" w:ascii="宋体" w:hAnsi="宋体" w:cs="宋体"/>
          <w:kern w:val="0"/>
          <w:sz w:val="24"/>
        </w:rPr>
        <w:t xml:space="preserve">新城疫是由新城疫病毒引起的急性、高度接触性的传染病，主要侵害鸡及火鸡，其他禽类和人亦可受到病毒感染，但很少发病。病禽是本病的主要传染源，感染后的症状以高热、呼吸困难、下痢、神经紊乱、黏膜和浆膜出血为特征。OIE将其列为A类疫病。 </w:t>
      </w:r>
    </w:p>
    <w:p>
      <w:pPr>
        <w:spacing w:line="360" w:lineRule="auto"/>
        <w:ind w:firstLine="480" w:firstLineChars="200"/>
        <w:rPr>
          <w:rFonts w:ascii="宋体" w:hAnsi="宋体" w:cs="宋体"/>
          <w:kern w:val="0"/>
          <w:sz w:val="24"/>
        </w:rPr>
      </w:pPr>
      <w:r>
        <w:rPr>
          <w:rFonts w:hint="eastAsia" w:ascii="宋体" w:hAnsi="宋体" w:cs="宋体"/>
          <w:kern w:val="0"/>
          <w:sz w:val="24"/>
        </w:rPr>
        <w:t xml:space="preserve">新城疫最初宿主主要是鸡，经过世界范围内几次大流行后，其宿主范围已经明显扩大。迄今为止，在自然或实验条件下，NDV 可感染50个鸟目中至少27个目的250种鸟，并且能够感染哺乳动物。此外，在鹧鸪、孔雀、企鹅、秃鹫、鸬鹚、鸵鸟、野鸡、鹦鹉、朱鹮等禽鸟体内分离到NDV的事件也时有报道。               </w:t>
      </w:r>
      <w:r>
        <w:rPr>
          <w:rFonts w:hint="eastAsia" w:ascii="宋体" w:hAnsi="宋体" w:cs="宋体"/>
          <w:b/>
          <w:bCs/>
          <w:kern w:val="0"/>
          <w:sz w:val="24"/>
        </w:rPr>
        <w:t>2.2 流行病学：</w:t>
      </w:r>
      <w:r>
        <w:rPr>
          <w:rFonts w:hint="eastAsia" w:ascii="宋体" w:hAnsi="宋体" w:cs="宋体"/>
          <w:kern w:val="0"/>
          <w:sz w:val="24"/>
        </w:rPr>
        <w:t>该病一年四季均可发生，但以春秋季较多。鸡场内的鸡一旦发生本病，可于4-5天内波及全群。病鸡是本病的主要传染源，鸡感染后临床症状出现前24 h，其口、鼻分泌物和粪便就有病毒排出。病毒存在于病鸡的所有组织器官、体液、分泌物和排泄物中。不同年龄的鸡易感性存在差异，幼雏和中雏易感性最高，两年以上的老鸡易感性较低。鸟类也是重要的传播者。</w:t>
      </w:r>
    </w:p>
    <w:p>
      <w:pPr>
        <w:spacing w:line="360" w:lineRule="auto"/>
        <w:ind w:firstLine="480" w:firstLineChars="200"/>
        <w:rPr>
          <w:rFonts w:ascii="宋体" w:hAnsi="宋体" w:cs="宋体"/>
          <w:kern w:val="0"/>
          <w:sz w:val="24"/>
        </w:rPr>
      </w:pPr>
      <w:r>
        <w:rPr>
          <w:rFonts w:hint="eastAsia" w:ascii="宋体" w:hAnsi="宋体" w:cs="宋体"/>
          <w:kern w:val="0"/>
          <w:sz w:val="24"/>
        </w:rPr>
        <w:t>病原具有多样性，自上世纪二十年代以来，世界范围内发生过四次ND的大流行。ND最先于东南亚爆发，主要以基因型Ⅱ、Ⅲ、Ⅳ为主；ND的第二次大流行开始于60年代晚期，出现了两个新的基因型Ⅴ、Ⅵ。基因Ⅴ型引起了70年代早期英国、加利福尼亚和欧洲部分国家ND的大流行，基因Ⅵ型引起了60年代晚期中东地区和希腊ND的大流行。ND的第三次大流行发生于80年代，主要由赛鸽和饲养鸽子引起，并传播至野生鸽子和家禽，这个时期流行的基因型主要为Ⅵb亚型。在80年代晚期和90年代的远东、欧洲、南非地区产生新的基因型Ⅶa，Ⅶb和Ⅷ型。第四次新城疫大流行，源头比较复杂，与水禽有一定的相关性，主要是基因Ⅶ型，不同的地域、不同的时间，各地流行的Ⅶ型也有差异。南非、中东、欧洲主要流行Ⅶb型，而亚洲东部包括中国内地以及于中国的台湾和香港、南韩、日本等地主要流行Ⅶ型中的a、c、d、e等亚型，且以Ⅶd亚型为主。</w:t>
      </w:r>
    </w:p>
    <w:p>
      <w:pPr>
        <w:spacing w:line="360" w:lineRule="auto"/>
        <w:rPr>
          <w:rFonts w:ascii="宋体" w:hAnsi="宋体" w:cs="宋体"/>
          <w:kern w:val="0"/>
          <w:sz w:val="24"/>
        </w:rPr>
      </w:pPr>
      <w:r>
        <w:rPr>
          <w:rFonts w:hint="eastAsia" w:ascii="宋体" w:hAnsi="宋体" w:cs="宋体"/>
          <w:kern w:val="0"/>
          <w:sz w:val="24"/>
        </w:rPr>
        <w:t>分子流行病学显示，我国目前流行的新城疫病毒以基因VI型和VII型为主，其中基因VI型主要存在于鸽群中，在鸡群和鹅群流行的新城疫则以基因VII型为主。古典的基因IX型越来越少，原来在鸡群中流行的基因VI型也很难分离到。值得关注的是近年来在我国个别地区还出现了新的基因型，如在我国华南地区鹅群中首次检出的基因XII型新城疫病毒以及从广西野鸟中首次检出的基因VIIh新城疫病毒。</w:t>
      </w:r>
    </w:p>
    <w:p>
      <w:pPr>
        <w:spacing w:line="360" w:lineRule="auto"/>
        <w:rPr>
          <w:rFonts w:ascii="宋体" w:hAnsi="宋体" w:cs="宋体"/>
          <w:kern w:val="0"/>
          <w:sz w:val="24"/>
        </w:rPr>
      </w:pPr>
      <w:r>
        <w:rPr>
          <w:rFonts w:hint="eastAsia" w:ascii="宋体" w:hAnsi="宋体" w:cs="宋体"/>
          <w:b/>
          <w:bCs/>
          <w:kern w:val="0"/>
          <w:sz w:val="24"/>
        </w:rPr>
        <w:t>2.3 传播途径：</w:t>
      </w:r>
      <w:r>
        <w:rPr>
          <w:rFonts w:hint="eastAsia" w:ascii="宋体" w:hAnsi="宋体" w:cs="宋体"/>
          <w:kern w:val="0"/>
          <w:sz w:val="24"/>
        </w:rPr>
        <w:t>病毒可经消化道、呼吸道，也可经眼结膜、受伤的皮肤和泄殖腔黏膜侵入机体。</w:t>
      </w:r>
    </w:p>
    <w:p>
      <w:pPr>
        <w:spacing w:line="360" w:lineRule="auto"/>
        <w:rPr>
          <w:rFonts w:ascii="宋体" w:hAnsi="宋体" w:cs="宋体"/>
          <w:kern w:val="0"/>
          <w:sz w:val="24"/>
        </w:rPr>
      </w:pPr>
      <w:r>
        <w:rPr>
          <w:rFonts w:hint="eastAsia" w:ascii="宋体" w:hAnsi="宋体" w:cs="宋体"/>
          <w:b/>
          <w:bCs/>
          <w:kern w:val="0"/>
          <w:sz w:val="24"/>
        </w:rPr>
        <w:t>2.4 潜伏期：</w:t>
      </w:r>
      <w:r>
        <w:rPr>
          <w:rFonts w:hint="eastAsia" w:ascii="宋体" w:hAnsi="宋体" w:cs="宋体"/>
          <w:kern w:val="0"/>
          <w:sz w:val="24"/>
        </w:rPr>
        <w:t>潜伏期2-15天或更长，平均为5-6天。《陆生动物卫生法典》规定为2l天。</w:t>
      </w:r>
    </w:p>
    <w:p>
      <w:pPr>
        <w:spacing w:line="360" w:lineRule="auto"/>
        <w:rPr>
          <w:rFonts w:ascii="宋体" w:hAnsi="宋体" w:cs="宋体"/>
          <w:kern w:val="0"/>
          <w:sz w:val="24"/>
        </w:rPr>
      </w:pPr>
      <w:r>
        <w:rPr>
          <w:rFonts w:hint="eastAsia" w:ascii="宋体" w:hAnsi="宋体" w:cs="宋体"/>
          <w:b/>
          <w:bCs/>
          <w:kern w:val="0"/>
          <w:sz w:val="24"/>
        </w:rPr>
        <w:t>2.5 在环境中的稳定性：</w:t>
      </w:r>
      <w:r>
        <w:rPr>
          <w:rFonts w:hint="eastAsia" w:ascii="宋体" w:hAnsi="宋体" w:cs="宋体"/>
          <w:kern w:val="0"/>
          <w:sz w:val="24"/>
        </w:rPr>
        <w:t>病毒在低温条件下抵抗力强，在4℃可存活1-2年，-20℃时能存活10年以上；真空冻干病毒在30℃可保存30天，15℃可保存 230天；不同毒株对热的稳定性有较大的差异。</w:t>
      </w:r>
    </w:p>
    <w:p>
      <w:pPr>
        <w:autoSpaceDE w:val="0"/>
        <w:autoSpaceDN w:val="0"/>
        <w:adjustRightInd w:val="0"/>
        <w:spacing w:line="360" w:lineRule="auto"/>
        <w:jc w:val="left"/>
        <w:rPr>
          <w:rFonts w:ascii="宋体" w:hAnsi="宋体" w:cs="宋体"/>
          <w:kern w:val="0"/>
          <w:sz w:val="24"/>
        </w:rPr>
      </w:pPr>
      <w:r>
        <w:rPr>
          <w:rFonts w:hint="eastAsia" w:ascii="宋体" w:hAnsi="宋体" w:cs="宋体"/>
          <w:b/>
          <w:bCs/>
          <w:kern w:val="0"/>
          <w:sz w:val="24"/>
        </w:rPr>
        <w:t>2.6 物理失活：</w:t>
      </w:r>
      <w:r>
        <w:rPr>
          <w:rFonts w:hint="eastAsia" w:ascii="宋体" w:hAnsi="宋体" w:cs="宋体"/>
          <w:kern w:val="0"/>
          <w:sz w:val="24"/>
        </w:rPr>
        <w:t>病毒可在加热、极端的 pH、紫外光照射、非等渗和干燥的条件下失活。</w:t>
      </w:r>
    </w:p>
    <w:p>
      <w:pPr>
        <w:autoSpaceDE w:val="0"/>
        <w:autoSpaceDN w:val="0"/>
        <w:adjustRightInd w:val="0"/>
        <w:spacing w:line="360" w:lineRule="auto"/>
        <w:jc w:val="left"/>
        <w:rPr>
          <w:rFonts w:ascii="宋体" w:hAnsi="宋体" w:cs="宋体"/>
          <w:kern w:val="0"/>
          <w:sz w:val="24"/>
        </w:rPr>
      </w:pPr>
      <w:r>
        <w:rPr>
          <w:rFonts w:hint="eastAsia" w:ascii="宋体" w:hAnsi="宋体" w:cs="宋体"/>
          <w:b/>
          <w:bCs/>
          <w:kern w:val="0"/>
          <w:sz w:val="24"/>
        </w:rPr>
        <w:t>2.7 药物敏感性：</w:t>
      </w:r>
      <w:r>
        <w:rPr>
          <w:rFonts w:hint="eastAsia" w:ascii="宋体" w:hAnsi="宋体" w:cs="宋体"/>
          <w:kern w:val="0"/>
          <w:sz w:val="24"/>
        </w:rPr>
        <w:t>禽类感染新城疫病毒目前尚无可靠的特异性药物治疗方法。</w:t>
      </w:r>
    </w:p>
    <w:p>
      <w:pPr>
        <w:autoSpaceDE w:val="0"/>
        <w:autoSpaceDN w:val="0"/>
        <w:adjustRightInd w:val="0"/>
        <w:spacing w:line="360" w:lineRule="auto"/>
        <w:jc w:val="left"/>
        <w:rPr>
          <w:rFonts w:ascii="宋体" w:hAnsi="宋体" w:cs="宋体"/>
          <w:kern w:val="0"/>
          <w:sz w:val="24"/>
        </w:rPr>
      </w:pPr>
      <w:r>
        <w:rPr>
          <w:rFonts w:hint="eastAsia" w:ascii="宋体" w:hAnsi="宋体" w:cs="宋体"/>
          <w:b/>
          <w:bCs/>
          <w:kern w:val="0"/>
          <w:sz w:val="24"/>
        </w:rPr>
        <w:t>2.8 对消毒剂敏感：</w:t>
      </w:r>
      <w:r>
        <w:rPr>
          <w:rFonts w:hint="eastAsia" w:ascii="宋体" w:hAnsi="宋体" w:cs="宋体"/>
          <w:kern w:val="0"/>
          <w:sz w:val="24"/>
        </w:rPr>
        <w:t>本病毒对消毒剂抵抗力不强，一般消毒剂的常用浓度即可很快将其杀灭，对乙醚敏感，大多数去污剂能将它迅速灭活。氢氧化钠等碱性物质对它的消毒效果不稳定。3%-5%来苏尔、酚和甲酚5 min内可将裸露的病毒粒子灭活。在37℃的孵卵器内，用0.1%福尔马林熏蒸6 h可灭活。</w:t>
      </w:r>
    </w:p>
    <w:p>
      <w:pPr>
        <w:numPr>
          <w:ilvl w:val="0"/>
          <w:numId w:val="1"/>
        </w:numPr>
        <w:spacing w:line="360" w:lineRule="auto"/>
        <w:rPr>
          <w:rFonts w:ascii="宋体" w:hAnsi="宋体" w:cs="宋体"/>
          <w:b/>
          <w:kern w:val="0"/>
          <w:sz w:val="24"/>
        </w:rPr>
      </w:pPr>
      <w:r>
        <w:rPr>
          <w:rFonts w:hint="eastAsia" w:ascii="宋体" w:hAnsi="宋体" w:cs="宋体"/>
          <w:b/>
          <w:kern w:val="0"/>
          <w:sz w:val="24"/>
        </w:rPr>
        <w:t>健康危害</w:t>
      </w:r>
    </w:p>
    <w:p>
      <w:pPr>
        <w:spacing w:line="360" w:lineRule="auto"/>
        <w:rPr>
          <w:rFonts w:hint="eastAsia" w:ascii="宋体" w:hAnsi="宋体" w:cs="宋体"/>
          <w:b/>
          <w:bCs/>
          <w:kern w:val="0"/>
          <w:sz w:val="24"/>
        </w:rPr>
      </w:pPr>
      <w:r>
        <w:rPr>
          <w:rFonts w:hint="eastAsia" w:ascii="宋体" w:hAnsi="宋体" w:cs="宋体"/>
          <w:b/>
          <w:bCs/>
          <w:kern w:val="0"/>
          <w:sz w:val="24"/>
        </w:rPr>
        <w:t>3.1新城疫病毒对人的感染</w:t>
      </w:r>
    </w:p>
    <w:p>
      <w:pPr>
        <w:spacing w:line="360" w:lineRule="auto"/>
        <w:rPr>
          <w:rFonts w:ascii="宋体" w:hAnsi="宋体" w:cs="宋体"/>
          <w:kern w:val="0"/>
          <w:sz w:val="24"/>
        </w:rPr>
      </w:pPr>
      <w:r>
        <w:rPr>
          <w:rFonts w:hint="eastAsia" w:ascii="仿宋_GB2312" w:hAnsi="宋体" w:eastAsia="仿宋_GB2312" w:cs="宋体"/>
          <w:b/>
          <w:bCs/>
          <w:sz w:val="28"/>
          <w:szCs w:val="28"/>
        </w:rPr>
        <w:t xml:space="preserve">   </w:t>
      </w:r>
      <w:r>
        <w:rPr>
          <w:rFonts w:hint="eastAsia" w:ascii="宋体" w:hAnsi="宋体" w:cs="宋体"/>
          <w:kern w:val="0"/>
          <w:sz w:val="24"/>
        </w:rPr>
        <w:t xml:space="preserve"> 人感染新城疫病毒潜伏期约为 48 h，主要引起急性结膜炎，偶尔也可侵害角膜，病程为 7-10天，一般不经治疗可自然康复，不会在人群中传播。</w:t>
      </w:r>
    </w:p>
    <w:p>
      <w:pPr>
        <w:spacing w:line="360" w:lineRule="auto"/>
        <w:rPr>
          <w:rFonts w:hint="eastAsia" w:ascii="宋体" w:hAnsi="宋体" w:cs="宋体"/>
          <w:b/>
          <w:bCs/>
          <w:kern w:val="0"/>
          <w:sz w:val="24"/>
        </w:rPr>
      </w:pPr>
      <w:r>
        <w:rPr>
          <w:rFonts w:hint="eastAsia" w:ascii="宋体" w:hAnsi="宋体" w:cs="宋体"/>
          <w:b/>
          <w:bCs/>
          <w:kern w:val="0"/>
          <w:sz w:val="24"/>
        </w:rPr>
        <w:t>3.2 预防和治疗：</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 xml:space="preserve">    鸡未发病时的预防办法：</w:t>
      </w:r>
      <w:r>
        <w:rPr>
          <w:rFonts w:ascii="宋体" w:hAnsi="宋体" w:cs="宋体"/>
          <w:kern w:val="0"/>
          <w:sz w:val="24"/>
        </w:rPr>
        <w:t xml:space="preserve"> 7</w:t>
      </w:r>
      <w:r>
        <w:rPr>
          <w:rFonts w:hint="eastAsia" w:ascii="宋体" w:hAnsi="宋体" w:cs="宋体"/>
          <w:kern w:val="0"/>
          <w:sz w:val="24"/>
        </w:rPr>
        <w:t>-</w:t>
      </w:r>
      <w:r>
        <w:rPr>
          <w:rFonts w:ascii="宋体" w:hAnsi="宋体" w:cs="宋体"/>
          <w:kern w:val="0"/>
          <w:sz w:val="24"/>
        </w:rPr>
        <w:t xml:space="preserve">10 </w:t>
      </w:r>
      <w:r>
        <w:rPr>
          <w:rFonts w:hint="eastAsia" w:ascii="宋体" w:hAnsi="宋体" w:cs="宋体"/>
          <w:kern w:val="0"/>
          <w:sz w:val="24"/>
        </w:rPr>
        <w:t>日龄鸡苗用鸡新城疫二系苗首免；</w:t>
      </w:r>
      <w:r>
        <w:rPr>
          <w:rFonts w:ascii="宋体" w:hAnsi="宋体" w:cs="宋体"/>
          <w:kern w:val="0"/>
          <w:sz w:val="24"/>
        </w:rPr>
        <w:t xml:space="preserve"> 25</w:t>
      </w:r>
      <w:r>
        <w:rPr>
          <w:rFonts w:hint="eastAsia" w:ascii="宋体" w:hAnsi="宋体" w:cs="宋体"/>
          <w:kern w:val="0"/>
          <w:sz w:val="24"/>
        </w:rPr>
        <w:t>-</w:t>
      </w:r>
      <w:r>
        <w:rPr>
          <w:rFonts w:ascii="宋体" w:hAnsi="宋体" w:cs="宋体"/>
          <w:kern w:val="0"/>
          <w:sz w:val="24"/>
        </w:rPr>
        <w:t>30</w:t>
      </w:r>
      <w:r>
        <w:rPr>
          <w:rFonts w:hint="eastAsia" w:ascii="宋体" w:hAnsi="宋体" w:cs="宋体"/>
          <w:kern w:val="0"/>
          <w:sz w:val="24"/>
        </w:rPr>
        <w:t>日龄小鸡用鸡新城疫四系苗二免；</w:t>
      </w:r>
      <w:r>
        <w:rPr>
          <w:rFonts w:ascii="宋体" w:hAnsi="宋体" w:cs="宋体"/>
          <w:kern w:val="0"/>
          <w:sz w:val="24"/>
        </w:rPr>
        <w:t xml:space="preserve"> 75</w:t>
      </w:r>
      <w:r>
        <w:rPr>
          <w:rFonts w:hint="eastAsia" w:ascii="宋体" w:hAnsi="宋体" w:cs="宋体"/>
          <w:kern w:val="0"/>
          <w:sz w:val="24"/>
        </w:rPr>
        <w:t>日龄中鸡，用鸡新城疫</w:t>
      </w:r>
      <w:r>
        <w:rPr>
          <w:rFonts w:ascii="宋体" w:hAnsi="宋体" w:cs="宋体"/>
          <w:kern w:val="0"/>
          <w:sz w:val="24"/>
        </w:rPr>
        <w:t>I</w:t>
      </w:r>
      <w:r>
        <w:rPr>
          <w:rFonts w:hint="eastAsia" w:ascii="宋体" w:hAnsi="宋体" w:cs="宋体"/>
          <w:kern w:val="0"/>
          <w:sz w:val="24"/>
        </w:rPr>
        <w:t>系苗肌注三免，每年春秋两季再加强</w:t>
      </w:r>
      <w:r>
        <w:rPr>
          <w:rFonts w:ascii="宋体" w:hAnsi="宋体" w:cs="宋体"/>
          <w:kern w:val="0"/>
          <w:sz w:val="24"/>
        </w:rPr>
        <w:t>1</w:t>
      </w:r>
      <w:r>
        <w:rPr>
          <w:rFonts w:hint="eastAsia" w:ascii="宋体" w:hAnsi="宋体" w:cs="宋体"/>
          <w:kern w:val="0"/>
          <w:sz w:val="24"/>
        </w:rPr>
        <w:t>次。养鸡大户新买进的鸡必须隔离观察，单独饲养</w:t>
      </w:r>
      <w:r>
        <w:rPr>
          <w:rFonts w:ascii="宋体" w:hAnsi="宋体" w:cs="宋体"/>
          <w:kern w:val="0"/>
          <w:sz w:val="24"/>
        </w:rPr>
        <w:t xml:space="preserve">15 </w:t>
      </w:r>
      <w:r>
        <w:rPr>
          <w:rFonts w:hint="eastAsia" w:ascii="宋体" w:hAnsi="宋体" w:cs="宋体"/>
          <w:kern w:val="0"/>
          <w:sz w:val="24"/>
        </w:rPr>
        <w:t>天，同时接种鸡新城疫疫苗，证明无病后方可合群饲养。建立和完善防疫制度，鸡舍勤消毒，谢绝参观等等。若鸡已经发病，应采取下列措施：疫点封锁，禁止活鸡及鸡产品出入，人员进出应更衣、消毒。和病鸡同群的鸡如数量较少应全部捕杀深埋，较多时应尽快隔离消毒，并立即用鸡新城疫Ⅰ系或Ⅳ系疫苗</w:t>
      </w:r>
      <w:r>
        <w:rPr>
          <w:rFonts w:ascii="宋体" w:hAnsi="宋体" w:cs="宋体"/>
          <w:kern w:val="0"/>
          <w:sz w:val="24"/>
        </w:rPr>
        <w:t xml:space="preserve">100 </w:t>
      </w:r>
      <w:r>
        <w:rPr>
          <w:rFonts w:hint="eastAsia" w:ascii="宋体" w:hAnsi="宋体" w:cs="宋体"/>
          <w:kern w:val="0"/>
          <w:sz w:val="24"/>
        </w:rPr>
        <w:t>倍（比正常量高</w:t>
      </w:r>
      <w:r>
        <w:rPr>
          <w:rFonts w:ascii="宋体" w:hAnsi="宋体" w:cs="宋体"/>
          <w:kern w:val="0"/>
          <w:sz w:val="24"/>
        </w:rPr>
        <w:t xml:space="preserve">5 </w:t>
      </w:r>
      <w:r>
        <w:rPr>
          <w:rFonts w:hint="eastAsia" w:ascii="宋体" w:hAnsi="宋体" w:cs="宋体"/>
          <w:kern w:val="0"/>
          <w:sz w:val="24"/>
        </w:rPr>
        <w:t>倍）稀释，每只胸肌注射</w:t>
      </w:r>
      <w:r>
        <w:rPr>
          <w:rFonts w:ascii="宋体" w:hAnsi="宋体" w:cs="宋体"/>
          <w:kern w:val="0"/>
          <w:sz w:val="24"/>
        </w:rPr>
        <w:t>1</w:t>
      </w:r>
      <w:r>
        <w:rPr>
          <w:rFonts w:hint="eastAsia" w:ascii="宋体" w:hAnsi="宋体" w:cs="宋体"/>
          <w:kern w:val="0"/>
          <w:sz w:val="24"/>
        </w:rPr>
        <w:t>毫升。对疫点周围</w:t>
      </w:r>
      <w:r>
        <w:rPr>
          <w:rFonts w:ascii="宋体" w:hAnsi="宋体" w:cs="宋体"/>
          <w:kern w:val="0"/>
          <w:sz w:val="24"/>
        </w:rPr>
        <w:t xml:space="preserve">3 </w:t>
      </w:r>
      <w:r>
        <w:rPr>
          <w:rFonts w:hint="eastAsia" w:ascii="宋体" w:hAnsi="宋体" w:cs="宋体"/>
          <w:kern w:val="0"/>
          <w:sz w:val="24"/>
        </w:rPr>
        <w:t>千米范围内的鸡用鸡新城疫苗加倍（加</w:t>
      </w:r>
      <w:r>
        <w:rPr>
          <w:rFonts w:ascii="宋体" w:hAnsi="宋体" w:cs="宋体"/>
          <w:kern w:val="0"/>
          <w:sz w:val="24"/>
        </w:rPr>
        <w:t>5</w:t>
      </w:r>
      <w:r>
        <w:rPr>
          <w:rFonts w:hint="eastAsia" w:ascii="宋体" w:hAnsi="宋体" w:cs="宋体"/>
          <w:kern w:val="0"/>
          <w:sz w:val="24"/>
        </w:rPr>
        <w:t xml:space="preserve"> 倍）免疫接种。疫点周围</w:t>
      </w:r>
      <w:r>
        <w:rPr>
          <w:rFonts w:ascii="宋体" w:hAnsi="宋体" w:cs="宋体"/>
          <w:kern w:val="0"/>
          <w:sz w:val="24"/>
        </w:rPr>
        <w:t xml:space="preserve">5 </w:t>
      </w:r>
      <w:r>
        <w:rPr>
          <w:rFonts w:hint="eastAsia" w:ascii="宋体" w:hAnsi="宋体" w:cs="宋体"/>
          <w:kern w:val="0"/>
          <w:sz w:val="24"/>
        </w:rPr>
        <w:t>千米范围内的鸡用鸡新城疫疫苗紧急接种。凡注射的针头必须一只鸡一换。不准用一颗针头连续注射，以防传染疾病。疫点全面清扫、消毒。凡被病鸡污染的饲料、垫草及病鸡排出的粪便均应焚烧或深埋，</w:t>
      </w:r>
      <w:r>
        <w:rPr>
          <w:rFonts w:ascii="宋体" w:hAnsi="宋体" w:cs="宋体"/>
          <w:kern w:val="0"/>
          <w:sz w:val="24"/>
        </w:rPr>
        <w:t xml:space="preserve"> </w:t>
      </w:r>
      <w:r>
        <w:rPr>
          <w:rFonts w:hint="eastAsia" w:ascii="宋体" w:hAnsi="宋体" w:cs="宋体"/>
          <w:kern w:val="0"/>
          <w:sz w:val="24"/>
        </w:rPr>
        <w:t>污染的表层</w:t>
      </w:r>
      <w:r>
        <w:rPr>
          <w:rFonts w:ascii="宋体" w:hAnsi="宋体" w:cs="宋体"/>
          <w:kern w:val="0"/>
          <w:sz w:val="24"/>
        </w:rPr>
        <w:t xml:space="preserve">10 </w:t>
      </w:r>
      <w:r>
        <w:rPr>
          <w:rFonts w:hint="eastAsia" w:ascii="宋体" w:hAnsi="宋体" w:cs="宋体"/>
          <w:kern w:val="0"/>
          <w:sz w:val="24"/>
        </w:rPr>
        <w:t>厘米土壤也应挖起深埋，被污染的用具、场地均应清洗消毒。常用消毒药物有烧碱、福尔马林、漂白粉、二氯异氰尿酸钠（优氯净）、来苏儿、百毒杀、农福、过氧乙酸等，任选一种即可，</w:t>
      </w:r>
      <w:r>
        <w:rPr>
          <w:rFonts w:ascii="宋体" w:hAnsi="宋体" w:cs="宋体"/>
          <w:kern w:val="0"/>
          <w:sz w:val="24"/>
        </w:rPr>
        <w:t xml:space="preserve"> </w:t>
      </w:r>
      <w:r>
        <w:rPr>
          <w:rFonts w:hint="eastAsia" w:ascii="宋体" w:hAnsi="宋体" w:cs="宋体"/>
          <w:kern w:val="0"/>
          <w:sz w:val="24"/>
        </w:rPr>
        <w:t>用法用量参照说明。养鸡的场地、用具经全面彻底清洗消毒后，</w:t>
      </w:r>
      <w:r>
        <w:rPr>
          <w:rFonts w:ascii="宋体" w:hAnsi="宋体" w:cs="宋体"/>
          <w:kern w:val="0"/>
          <w:sz w:val="24"/>
        </w:rPr>
        <w:t xml:space="preserve"> </w:t>
      </w:r>
      <w:r>
        <w:rPr>
          <w:rFonts w:hint="eastAsia" w:ascii="宋体" w:hAnsi="宋体" w:cs="宋体"/>
          <w:kern w:val="0"/>
          <w:sz w:val="24"/>
        </w:rPr>
        <w:t>间隔</w:t>
      </w:r>
      <w:r>
        <w:rPr>
          <w:rFonts w:ascii="宋体" w:hAnsi="宋体" w:cs="宋体"/>
          <w:kern w:val="0"/>
          <w:sz w:val="24"/>
        </w:rPr>
        <w:t xml:space="preserve">30 </w:t>
      </w:r>
      <w:r>
        <w:rPr>
          <w:rFonts w:hint="eastAsia" w:ascii="宋体" w:hAnsi="宋体" w:cs="宋体"/>
          <w:kern w:val="0"/>
          <w:sz w:val="24"/>
        </w:rPr>
        <w:t>天以上，方可再次养鸡。</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 xml:space="preserve">    治疗方法:死鸡（病鸡捕杀后）深埋，严禁食用，加工，出售。鸡群一旦发病，应采取紧急措施，</w:t>
      </w:r>
      <w:r>
        <w:rPr>
          <w:rFonts w:ascii="宋体" w:hAnsi="宋体" w:cs="宋体"/>
          <w:kern w:val="0"/>
          <w:sz w:val="24"/>
        </w:rPr>
        <w:t xml:space="preserve"> </w:t>
      </w:r>
      <w:r>
        <w:rPr>
          <w:rFonts w:hint="eastAsia" w:ascii="宋体" w:hAnsi="宋体" w:cs="宋体"/>
          <w:kern w:val="0"/>
          <w:sz w:val="24"/>
        </w:rPr>
        <w:t>防止疫情扩散。其措施有，紧急消毒，对全场鸡群用疫苗进行紧急接种。方法如下：月龄以上鸡一旦发生了典型鸡瘟，用</w:t>
      </w:r>
      <w:r>
        <w:rPr>
          <w:rFonts w:ascii="宋体" w:hAnsi="宋体" w:cs="宋体"/>
          <w:kern w:val="0"/>
          <w:sz w:val="24"/>
        </w:rPr>
        <w:t xml:space="preserve">I </w:t>
      </w:r>
      <w:r>
        <w:rPr>
          <w:rFonts w:hint="eastAsia" w:ascii="宋体" w:hAnsi="宋体" w:cs="宋体"/>
          <w:kern w:val="0"/>
          <w:sz w:val="24"/>
        </w:rPr>
        <w:t>系苗肌肉注射或刺种的方法。应用大剂量</w:t>
      </w:r>
      <w:r>
        <w:rPr>
          <w:rFonts w:ascii="宋体" w:hAnsi="宋体" w:cs="宋体"/>
          <w:kern w:val="0"/>
          <w:sz w:val="24"/>
        </w:rPr>
        <w:t>I</w:t>
      </w:r>
      <w:r>
        <w:rPr>
          <w:rFonts w:hint="eastAsia" w:ascii="宋体" w:hAnsi="宋体" w:cs="宋体"/>
          <w:kern w:val="0"/>
          <w:sz w:val="24"/>
        </w:rPr>
        <w:t>系苗抢救病鸡，</w:t>
      </w:r>
      <w:r>
        <w:rPr>
          <w:rFonts w:ascii="宋体" w:hAnsi="宋体" w:cs="宋体"/>
          <w:kern w:val="0"/>
          <w:sz w:val="24"/>
        </w:rPr>
        <w:t xml:space="preserve"> </w:t>
      </w:r>
      <w:r>
        <w:rPr>
          <w:rFonts w:hint="eastAsia" w:ascii="宋体" w:hAnsi="宋体" w:cs="宋体"/>
          <w:kern w:val="0"/>
          <w:sz w:val="24"/>
        </w:rPr>
        <w:t>即用</w:t>
      </w:r>
      <w:r>
        <w:rPr>
          <w:rFonts w:ascii="宋体" w:hAnsi="宋体" w:cs="宋体"/>
          <w:kern w:val="0"/>
          <w:sz w:val="24"/>
        </w:rPr>
        <w:t>100</w:t>
      </w:r>
      <w:r>
        <w:rPr>
          <w:rFonts w:hint="eastAsia" w:ascii="宋体" w:hAnsi="宋体" w:cs="宋体"/>
          <w:kern w:val="0"/>
          <w:sz w:val="24"/>
        </w:rPr>
        <w:t>倍稀释，每只鸡胸肌注射</w:t>
      </w:r>
      <w:r>
        <w:rPr>
          <w:rFonts w:ascii="宋体" w:hAnsi="宋体" w:cs="宋体"/>
          <w:kern w:val="0"/>
          <w:sz w:val="24"/>
        </w:rPr>
        <w:t>l</w:t>
      </w:r>
      <w:r>
        <w:rPr>
          <w:rFonts w:hint="eastAsia" w:ascii="宋体" w:hAnsi="宋体" w:cs="宋体"/>
          <w:kern w:val="0"/>
          <w:sz w:val="24"/>
        </w:rPr>
        <w:t>毫升，</w:t>
      </w:r>
      <w:r>
        <w:rPr>
          <w:rFonts w:ascii="宋体" w:hAnsi="宋体" w:cs="宋体"/>
          <w:kern w:val="0"/>
          <w:sz w:val="24"/>
        </w:rPr>
        <w:t xml:space="preserve">3 </w:t>
      </w:r>
      <w:r>
        <w:rPr>
          <w:rFonts w:hint="eastAsia" w:ascii="宋体" w:hAnsi="宋体" w:cs="宋体"/>
          <w:kern w:val="0"/>
          <w:sz w:val="24"/>
        </w:rPr>
        <w:t>天后即可停止死亡。对注射后出现的部分病鸡一律淘汰处理，死鸡焚毁。并应严密封锁，经常消毒，至本病停止死亡后半月，再进行一次大消毒，而后解除封锁。如发生非典型新城疫，非产蛋鸡可用</w:t>
      </w:r>
      <w:r>
        <w:rPr>
          <w:rFonts w:ascii="宋体" w:hAnsi="宋体" w:cs="宋体"/>
          <w:kern w:val="0"/>
          <w:sz w:val="24"/>
        </w:rPr>
        <w:t>I</w:t>
      </w:r>
      <w:r>
        <w:rPr>
          <w:rFonts w:hint="eastAsia" w:ascii="宋体" w:hAnsi="宋体" w:cs="宋体"/>
          <w:kern w:val="0"/>
          <w:sz w:val="24"/>
        </w:rPr>
        <w:t>系苗加倍肌肉注射，产蛋鸡可用弱毒苗加倍饮水免疫。月龄以下在病初用鸡新城疫高免血清或高免卵黄抗体进行紧急注射；也能减少死亡，较快控制疫情，注意首次注射量</w:t>
      </w:r>
      <w:r>
        <w:rPr>
          <w:rFonts w:ascii="宋体" w:hAnsi="宋体" w:cs="宋体"/>
          <w:kern w:val="0"/>
          <w:sz w:val="24"/>
        </w:rPr>
        <w:t>2</w:t>
      </w:r>
      <w:r>
        <w:rPr>
          <w:rFonts w:hint="eastAsia" w:ascii="宋体" w:hAnsi="宋体" w:cs="宋体"/>
          <w:kern w:val="0"/>
          <w:sz w:val="24"/>
        </w:rPr>
        <w:t>-</w:t>
      </w:r>
      <w:r>
        <w:rPr>
          <w:rFonts w:ascii="宋体" w:hAnsi="宋体" w:cs="宋体"/>
          <w:kern w:val="0"/>
          <w:sz w:val="24"/>
        </w:rPr>
        <w:t>4ml</w:t>
      </w:r>
      <w:r>
        <w:rPr>
          <w:rFonts w:hint="eastAsia" w:ascii="宋体" w:hAnsi="宋体" w:cs="宋体"/>
          <w:kern w:val="0"/>
          <w:sz w:val="24"/>
        </w:rPr>
        <w:t>，第二天再注射一次，效果甚佳，待疫情控制后再用Ⅳ系苗或</w:t>
      </w:r>
      <w:r>
        <w:rPr>
          <w:rFonts w:ascii="宋体" w:hAnsi="宋体" w:cs="宋体"/>
          <w:kern w:val="0"/>
          <w:sz w:val="24"/>
        </w:rPr>
        <w:t xml:space="preserve">Clone </w:t>
      </w:r>
      <w:r>
        <w:rPr>
          <w:rFonts w:hint="eastAsia" w:ascii="宋体" w:hAnsi="宋体" w:cs="宋体"/>
          <w:kern w:val="0"/>
          <w:sz w:val="24"/>
        </w:rPr>
        <w:t>株苗全群免疫一次。如发生非典型新城疫可用弱毒苗加倍饮水。在用疫苗的同时使用抗菌药物如青霉素、链霉素、环丙沙星、阿奇霉素、泰乐菌素等防止继发呼吸道、消化道感染，</w:t>
      </w:r>
      <w:r>
        <w:rPr>
          <w:rFonts w:ascii="宋体" w:hAnsi="宋体" w:cs="宋体"/>
          <w:kern w:val="0"/>
          <w:sz w:val="24"/>
        </w:rPr>
        <w:t xml:space="preserve"> </w:t>
      </w:r>
      <w:r>
        <w:rPr>
          <w:rFonts w:hint="eastAsia" w:ascii="宋体" w:hAnsi="宋体" w:cs="宋体"/>
          <w:kern w:val="0"/>
          <w:sz w:val="24"/>
        </w:rPr>
        <w:t>并在饲料或饮水中增加中药（清瘟败毒散）和多种维生素如维生素</w:t>
      </w:r>
      <w:r>
        <w:rPr>
          <w:rFonts w:ascii="宋体" w:hAnsi="宋体" w:cs="宋体"/>
          <w:kern w:val="0"/>
          <w:sz w:val="24"/>
        </w:rPr>
        <w:t>C</w:t>
      </w:r>
      <w:r>
        <w:rPr>
          <w:rFonts w:hint="eastAsia" w:ascii="宋体" w:hAnsi="宋体" w:cs="宋体"/>
          <w:kern w:val="0"/>
          <w:sz w:val="24"/>
        </w:rPr>
        <w:t>、速补等，</w:t>
      </w:r>
      <w:r>
        <w:rPr>
          <w:rFonts w:ascii="宋体" w:hAnsi="宋体" w:cs="宋体"/>
          <w:kern w:val="0"/>
          <w:sz w:val="24"/>
        </w:rPr>
        <w:t xml:space="preserve"> </w:t>
      </w:r>
      <w:r>
        <w:rPr>
          <w:rFonts w:hint="eastAsia" w:ascii="宋体" w:hAnsi="宋体" w:cs="宋体"/>
          <w:kern w:val="0"/>
          <w:sz w:val="24"/>
        </w:rPr>
        <w:t>促进机体康复。</w:t>
      </w:r>
    </w:p>
    <w:p>
      <w:pPr>
        <w:autoSpaceDE w:val="0"/>
        <w:autoSpaceDN w:val="0"/>
        <w:adjustRightInd w:val="0"/>
        <w:spacing w:line="360" w:lineRule="auto"/>
        <w:jc w:val="left"/>
        <w:rPr>
          <w:rFonts w:ascii="仿宋_GB2312" w:hAnsi="宋体" w:eastAsia="仿宋_GB2312" w:cs="宋体"/>
          <w:b/>
          <w:bCs/>
          <w:sz w:val="28"/>
          <w:szCs w:val="28"/>
        </w:rPr>
      </w:pPr>
      <w:r>
        <w:rPr>
          <w:rFonts w:hint="eastAsia" w:ascii="仿宋_GB2312" w:hAnsi="宋体" w:eastAsia="仿宋_GB2312" w:cs="宋体"/>
          <w:b/>
          <w:bCs/>
          <w:sz w:val="28"/>
          <w:szCs w:val="28"/>
        </w:rPr>
        <w:t>4.实验室检测项目</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实验内容：新城疫病毒分离及鉴定方法；中强毒力新城疫病毒荧光RT-PCR检测方法。</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 xml:space="preserve">    实验样本：棉拭子和新鲜组织。实验样本最多保存数量不超过500份，最长保存期90天。</w:t>
      </w:r>
    </w:p>
    <w:p>
      <w:pPr>
        <w:spacing w:line="360" w:lineRule="auto"/>
        <w:rPr>
          <w:rFonts w:ascii="宋体" w:hAnsi="宋体" w:cs="宋体"/>
          <w:b/>
          <w:kern w:val="0"/>
          <w:sz w:val="24"/>
        </w:rPr>
      </w:pPr>
      <w:r>
        <w:rPr>
          <w:rFonts w:hint="eastAsia" w:ascii="宋体" w:hAnsi="宋体" w:cs="宋体"/>
          <w:b/>
          <w:kern w:val="0"/>
          <w:sz w:val="24"/>
        </w:rPr>
        <w:t>5. 实验室危害</w:t>
      </w:r>
    </w:p>
    <w:p>
      <w:pPr>
        <w:spacing w:line="360" w:lineRule="auto"/>
        <w:rPr>
          <w:rFonts w:ascii="宋体" w:hAnsi="宋体" w:cs="宋体"/>
          <w:b/>
          <w:kern w:val="0"/>
          <w:sz w:val="24"/>
        </w:rPr>
      </w:pPr>
      <w:r>
        <w:rPr>
          <w:rFonts w:hint="eastAsia" w:ascii="仿宋_GB2312" w:hAnsi="宋体" w:eastAsia="仿宋_GB2312" w:cs="宋体"/>
          <w:b/>
          <w:bCs/>
          <w:sz w:val="28"/>
          <w:szCs w:val="28"/>
        </w:rPr>
        <w:t xml:space="preserve">   </w:t>
      </w:r>
      <w:r>
        <w:rPr>
          <w:rFonts w:hint="eastAsia" w:ascii="宋体" w:hAnsi="宋体" w:cs="宋体"/>
          <w:kern w:val="0"/>
          <w:sz w:val="24"/>
        </w:rPr>
        <w:t>主要危害：实验样品中潜在新城疫病毒，病毒在样品接受、传递、储存、试验操作（包括样品剪碎、漂洗、研磨、移液、分装和离心等）和废弃物处理等过程中，液体或气溶胶溢出，直接或间接感染操作人员和污染环境，造成生物安全危害。在公共卫生方面，兽医、实验室工作人员等接触大量病毒时可引起结膜炎等症状。</w:t>
      </w:r>
    </w:p>
    <w:p>
      <w:pPr>
        <w:spacing w:line="360" w:lineRule="auto"/>
        <w:rPr>
          <w:rFonts w:ascii="宋体" w:hAnsi="宋体" w:cs="宋体"/>
          <w:b/>
          <w:kern w:val="0"/>
          <w:sz w:val="24"/>
        </w:rPr>
      </w:pPr>
      <w:r>
        <w:rPr>
          <w:rFonts w:hint="eastAsia" w:ascii="宋体" w:hAnsi="宋体" w:cs="宋体"/>
          <w:b/>
          <w:kern w:val="0"/>
          <w:sz w:val="24"/>
        </w:rPr>
        <w:t>6. 预防措施</w:t>
      </w:r>
    </w:p>
    <w:p>
      <w:pPr>
        <w:spacing w:line="360" w:lineRule="auto"/>
        <w:rPr>
          <w:rFonts w:hint="eastAsia" w:ascii="宋体" w:hAnsi="宋体" w:cs="宋体"/>
          <w:b/>
          <w:bCs/>
          <w:kern w:val="0"/>
          <w:sz w:val="24"/>
        </w:rPr>
      </w:pPr>
      <w:r>
        <w:rPr>
          <w:rFonts w:hint="eastAsia" w:ascii="宋体" w:hAnsi="宋体" w:cs="宋体"/>
          <w:b/>
          <w:bCs/>
          <w:kern w:val="0"/>
          <w:sz w:val="24"/>
        </w:rPr>
        <w:t>6.1  人员防护</w:t>
      </w:r>
    </w:p>
    <w:p>
      <w:pPr>
        <w:autoSpaceDE w:val="0"/>
        <w:autoSpaceDN w:val="0"/>
        <w:adjustRightInd w:val="0"/>
        <w:spacing w:line="360" w:lineRule="auto"/>
        <w:ind w:firstLine="470" w:firstLineChars="196"/>
        <w:jc w:val="left"/>
        <w:rPr>
          <w:rFonts w:ascii="宋体" w:hAnsi="宋体" w:cs="宋体"/>
          <w:kern w:val="0"/>
          <w:sz w:val="24"/>
        </w:rPr>
      </w:pPr>
      <w:r>
        <w:rPr>
          <w:rFonts w:hint="eastAsia" w:ascii="宋体" w:hAnsi="宋体" w:cs="宋体"/>
          <w:kern w:val="0"/>
          <w:sz w:val="24"/>
        </w:rPr>
        <w:t>所有进入实验室工作场所的人员和可能涉及的人员，必须按照生物安全二级防护要求，戴口罩、戴帽子、穿工作服、穿工作鞋、戴手套。在生物安全柜内中要始终戴第二层一次性手套，如果第二层一次性手套发生了破裂，应消毒后脱掉，并彻底消毒手部，然后更换新的一次性手套。个人防护用品的穿脱顺序严格遵守《实验室个人防护装备及进入、退出程序》。</w:t>
      </w:r>
    </w:p>
    <w:p>
      <w:pPr>
        <w:spacing w:line="360" w:lineRule="auto"/>
        <w:rPr>
          <w:rFonts w:hint="eastAsia" w:ascii="宋体" w:hAnsi="宋体" w:cs="宋体"/>
          <w:b/>
          <w:bCs/>
          <w:kern w:val="0"/>
          <w:sz w:val="24"/>
        </w:rPr>
      </w:pPr>
      <w:r>
        <w:rPr>
          <w:rFonts w:hint="eastAsia" w:ascii="宋体" w:hAnsi="宋体" w:cs="宋体"/>
          <w:b/>
          <w:bCs/>
          <w:kern w:val="0"/>
          <w:sz w:val="24"/>
        </w:rPr>
        <w:t>6.2  样品处理</w:t>
      </w:r>
    </w:p>
    <w:p>
      <w:pPr>
        <w:autoSpaceDE w:val="0"/>
        <w:autoSpaceDN w:val="0"/>
        <w:adjustRightInd w:val="0"/>
        <w:spacing w:line="360" w:lineRule="auto"/>
        <w:ind w:firstLine="470" w:firstLineChars="196"/>
        <w:jc w:val="left"/>
        <w:rPr>
          <w:rFonts w:ascii="宋体" w:hAnsi="宋体" w:cs="宋体"/>
          <w:kern w:val="0"/>
          <w:sz w:val="24"/>
        </w:rPr>
      </w:pPr>
      <w:r>
        <w:rPr>
          <w:rFonts w:hint="eastAsia" w:ascii="宋体" w:hAnsi="宋体" w:cs="宋体"/>
          <w:kern w:val="0"/>
          <w:sz w:val="24"/>
        </w:rPr>
        <w:t>在接受样品时，由实验室人员当面检查样品的状态、标示和包装等，确认适合检验时方可在样品检验委托单上签字验收，接收样品后增加一层防泄漏外包装，注明状态、标示和时间，直接送生物安全二级实验室检验或暂时放入指定冰箱冷冻保存。</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当处理样品时，严格按照实验室操作规程，所有包装必须在实验室生物安全柜内打开并进行操作。肌肉组织等样品在剪碎、漂洗和研磨时液体容易溅出器皿污染工作台面，应事先在器皿的下面铺新鲜配制的含有 1%有效氯的次氯酸钠或 75%酒精纱布，溢出时从溢出区域的外围开始，向中心进行消毒处理。咽喉、泄殖腔棉拭子等在进行挤压时，动作要轻柔勿剧烈操作，以防止产生气溶胶和液体溅出。</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在病毒核酸提取过程中，病毒样品被裂解灭活前必须在生物安全柜内操作，灭活后的病毒样品可经严格消毒后按实验操作规程移除生物安全柜，在实验室内完成后续操作。</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在进行病毒血清学检测时，对具有潜在危害的血清进行灭活前的预先处理，必须在实验室生物安全柜内进行，经 56℃ 30 min 灭活后可移入血清检测室完成后续操作。</w:t>
      </w:r>
    </w:p>
    <w:p>
      <w:pPr>
        <w:spacing w:line="360" w:lineRule="auto"/>
        <w:rPr>
          <w:rFonts w:hint="eastAsia" w:ascii="宋体" w:hAnsi="宋体" w:cs="宋体"/>
          <w:b/>
          <w:bCs/>
          <w:kern w:val="0"/>
          <w:sz w:val="24"/>
        </w:rPr>
      </w:pPr>
      <w:r>
        <w:rPr>
          <w:rFonts w:hint="eastAsia" w:ascii="宋体" w:hAnsi="宋体" w:cs="宋体"/>
          <w:b/>
          <w:bCs/>
          <w:kern w:val="0"/>
          <w:sz w:val="24"/>
        </w:rPr>
        <w:t>6.3  废弃物处理</w:t>
      </w:r>
    </w:p>
    <w:p>
      <w:pPr>
        <w:tabs>
          <w:tab w:val="left" w:pos="1653"/>
        </w:tabs>
        <w:autoSpaceDE w:val="0"/>
        <w:autoSpaceDN w:val="0"/>
        <w:adjustRightInd w:val="0"/>
        <w:spacing w:line="360" w:lineRule="auto"/>
        <w:ind w:firstLine="470" w:firstLineChars="196"/>
        <w:jc w:val="left"/>
        <w:rPr>
          <w:rFonts w:ascii="宋体" w:hAnsi="宋体" w:cs="宋体"/>
          <w:kern w:val="0"/>
          <w:sz w:val="24"/>
        </w:rPr>
      </w:pPr>
      <w:r>
        <w:rPr>
          <w:rFonts w:hint="eastAsia" w:ascii="宋体" w:hAnsi="宋体" w:cs="宋体"/>
          <w:kern w:val="0"/>
          <w:sz w:val="24"/>
        </w:rPr>
        <w:t>将具有潜在危害的实验废弃物，在生物安全柜内装入指定的密封塑料袋中，密封袋口后进行表面消毒，放入生物安全型灭菌器中高压灭菌后按实验室操作规程废弃。</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用于洗手或洗眼的废水经管道排入指定的不锈钢双重消毒池内，经1%有效氯的次氯酸钠消毒后排入下水道。</w:t>
      </w:r>
    </w:p>
    <w:p>
      <w:pPr>
        <w:spacing w:line="360" w:lineRule="auto"/>
        <w:rPr>
          <w:rFonts w:hint="eastAsia" w:ascii="宋体" w:hAnsi="宋体" w:cs="宋体"/>
          <w:b/>
          <w:bCs/>
          <w:kern w:val="0"/>
          <w:sz w:val="24"/>
        </w:rPr>
      </w:pPr>
      <w:r>
        <w:rPr>
          <w:rFonts w:hint="eastAsia" w:ascii="宋体" w:hAnsi="宋体" w:cs="宋体"/>
          <w:b/>
          <w:bCs/>
          <w:kern w:val="0"/>
          <w:sz w:val="24"/>
        </w:rPr>
        <w:t>6.4  实验室人员素质和健康监控</w:t>
      </w:r>
    </w:p>
    <w:p>
      <w:pPr>
        <w:autoSpaceDE w:val="0"/>
        <w:autoSpaceDN w:val="0"/>
        <w:adjustRightInd w:val="0"/>
        <w:spacing w:line="360" w:lineRule="auto"/>
        <w:ind w:firstLine="470" w:firstLineChars="196"/>
        <w:jc w:val="left"/>
        <w:rPr>
          <w:rFonts w:ascii="宋体" w:hAnsi="宋体" w:cs="宋体"/>
          <w:kern w:val="0"/>
          <w:sz w:val="24"/>
        </w:rPr>
      </w:pPr>
      <w:r>
        <w:rPr>
          <w:rFonts w:hint="eastAsia" w:ascii="宋体" w:hAnsi="宋体" w:cs="宋体"/>
          <w:kern w:val="0"/>
          <w:sz w:val="24"/>
        </w:rPr>
        <w:t>实验室操作人员应具备动物医学或相关专业知识，应掌握国家生物安全相关规定，熟练微生物实验操作基本技术，参加过生物安全理论和相关生物安全体系文件的学习和培训，经生物安全理论与操作技能考核合格，具有生物安全二级实验室上岗证。经体检证明无传染性疾病，身体状态良好。</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人员出现下列情况者不应进入实验室从事生物安全二级实验室工作，身体出现开放性损伤、患发热性疾病；感冒、上呼吸道感染或其他导致抵抗力下降的情况；怀孕妇女；免疫耐受或使用免疫抑制剂；已经在实验室控制区域内连续工作4小时以上或其他原因造成的疲劳状态。</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进入实验室的人员（包括客座人员）需体检合格，以后视情况每年体检 1-2 次或不定期进行体检，并留存工作人员进入实验室前血清样本，以后根据需要定期收集血清样本，保存检测报告，实验室建立并保留人员健康医疗监督档案。</w:t>
      </w:r>
    </w:p>
    <w:p>
      <w:pPr>
        <w:spacing w:line="360" w:lineRule="auto"/>
        <w:rPr>
          <w:rFonts w:ascii="宋体" w:hAnsi="宋体" w:cs="宋体"/>
          <w:b/>
          <w:kern w:val="0"/>
          <w:sz w:val="24"/>
        </w:rPr>
      </w:pPr>
      <w:r>
        <w:rPr>
          <w:rFonts w:hint="eastAsia" w:ascii="宋体" w:hAnsi="宋体" w:cs="宋体"/>
          <w:b/>
          <w:kern w:val="0"/>
          <w:sz w:val="24"/>
        </w:rPr>
        <w:t>7. 实验过程风险识别和风险控制（详见附录）</w:t>
      </w:r>
    </w:p>
    <w:p>
      <w:pPr>
        <w:pStyle w:val="13"/>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附录  实验过程风险识别和风险控制一览表</w:t>
      </w:r>
    </w:p>
    <w:tbl>
      <w:tblPr>
        <w:tblStyle w:val="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709"/>
        <w:gridCol w:w="850"/>
        <w:gridCol w:w="992"/>
        <w:gridCol w:w="411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实验活动</w:t>
            </w:r>
          </w:p>
        </w:tc>
        <w:tc>
          <w:tcPr>
            <w:tcW w:w="709" w:type="dxa"/>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风险因子</w:t>
            </w:r>
          </w:p>
        </w:tc>
        <w:tc>
          <w:tcPr>
            <w:tcW w:w="850" w:type="dxa"/>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风险</w:t>
            </w:r>
          </w:p>
        </w:tc>
        <w:tc>
          <w:tcPr>
            <w:tcW w:w="992" w:type="dxa"/>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发生风险的可能性</w:t>
            </w:r>
          </w:p>
        </w:tc>
        <w:tc>
          <w:tcPr>
            <w:tcW w:w="4111" w:type="dxa"/>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针对预防性措施</w:t>
            </w:r>
          </w:p>
        </w:tc>
        <w:tc>
          <w:tcPr>
            <w:tcW w:w="1134" w:type="dxa"/>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残留风险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restart"/>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样本</w:t>
            </w: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包装</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溅洒、遗漏产生交叉污染</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小</w:t>
            </w:r>
          </w:p>
        </w:tc>
        <w:tc>
          <w:tcPr>
            <w:tcW w:w="4111" w:type="dxa"/>
          </w:tcPr>
          <w:p>
            <w:pPr>
              <w:pStyle w:val="5"/>
              <w:rPr>
                <w:color w:val="4C4C4C"/>
                <w:sz w:val="18"/>
                <w:szCs w:val="18"/>
              </w:rPr>
            </w:pPr>
            <w:r>
              <w:rPr>
                <w:rFonts w:hint="eastAsia"/>
                <w:color w:val="4C4C4C"/>
                <w:sz w:val="18"/>
                <w:szCs w:val="18"/>
              </w:rPr>
              <w:t>具有较大可能污染性的标本（动物产品）按照U</w:t>
            </w:r>
            <w:r>
              <w:rPr>
                <w:color w:val="4C4C4C"/>
                <w:sz w:val="18"/>
                <w:szCs w:val="18"/>
              </w:rPr>
              <w:t>N2814</w:t>
            </w:r>
            <w:r>
              <w:rPr>
                <w:rFonts w:hint="eastAsia"/>
                <w:color w:val="4C4C4C"/>
                <w:sz w:val="18"/>
                <w:szCs w:val="18"/>
              </w:rPr>
              <w:t>包装、具有三层包装系统（主容器、辅助容器、外标签）、所有标本应放在大小适合的带螺旋盖内有垫圈、耐冷冻的样本采集管里，拧紧。容器外注明样本编号、种类、姓名及采样日期。</w:t>
            </w:r>
            <w:r>
              <w:rPr>
                <w:color w:val="4C4C4C"/>
                <w:sz w:val="18"/>
                <w:szCs w:val="18"/>
              </w:rPr>
              <w:t>将密闭后的标本放入大小合适的塑料袋内密封，每袋装1份标本。</w:t>
            </w:r>
            <w:r>
              <w:rPr>
                <w:rFonts w:hint="eastAsia"/>
                <w:color w:val="4C4C4C"/>
                <w:sz w:val="18"/>
                <w:szCs w:val="18"/>
              </w:rPr>
              <w:t>置于标本转运箱，保持直立不倒。转运箱封闭前，用7</w:t>
            </w:r>
            <w:r>
              <w:rPr>
                <w:color w:val="4C4C4C"/>
                <w:sz w:val="18"/>
                <w:szCs w:val="18"/>
              </w:rPr>
              <w:t>5</w:t>
            </w:r>
            <w:r>
              <w:rPr>
                <w:rFonts w:hint="eastAsia"/>
                <w:color w:val="4C4C4C"/>
                <w:sz w:val="18"/>
                <w:szCs w:val="18"/>
              </w:rPr>
              <w:t>%的酒精喷雾消毒</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93" w:type="dxa"/>
            <w:vMerge w:val="continue"/>
          </w:tcPr>
          <w:p>
            <w:pPr>
              <w:pStyle w:val="5"/>
              <w:spacing w:before="0" w:beforeAutospacing="0" w:after="0" w:afterAutospacing="0"/>
              <w:jc w:val="center"/>
              <w:rPr>
                <w:color w:val="4C4C4C"/>
                <w:sz w:val="18"/>
                <w:szCs w:val="18"/>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交接</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丢失</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较小</w:t>
            </w:r>
          </w:p>
        </w:tc>
        <w:tc>
          <w:tcPr>
            <w:tcW w:w="4111" w:type="dxa"/>
          </w:tcPr>
          <w:p>
            <w:pPr>
              <w:pStyle w:val="5"/>
              <w:spacing w:before="0" w:beforeAutospacing="0" w:after="0" w:afterAutospacing="0"/>
              <w:jc w:val="center"/>
              <w:rPr>
                <w:color w:val="4C4C4C"/>
                <w:sz w:val="18"/>
                <w:szCs w:val="18"/>
              </w:rPr>
            </w:pPr>
            <w:r>
              <w:rPr>
                <w:rFonts w:hint="eastAsia"/>
                <w:color w:val="4C4C4C"/>
                <w:sz w:val="18"/>
                <w:szCs w:val="18"/>
              </w:rPr>
              <w:t>标本有专人运送到实验室，接收人员进行信息核对、登记，并由运送人员和接收人员分别签字</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color w:val="4C4C4C"/>
                <w:sz w:val="18"/>
                <w:szCs w:val="18"/>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离心</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气溶胶</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大</w:t>
            </w:r>
          </w:p>
        </w:tc>
        <w:tc>
          <w:tcPr>
            <w:tcW w:w="4111" w:type="dxa"/>
          </w:tcPr>
          <w:p>
            <w:pPr>
              <w:pStyle w:val="5"/>
              <w:spacing w:before="0" w:beforeAutospacing="0" w:after="0" w:afterAutospacing="0"/>
              <w:jc w:val="center"/>
              <w:rPr>
                <w:color w:val="4C4C4C"/>
                <w:sz w:val="18"/>
                <w:szCs w:val="18"/>
              </w:rPr>
            </w:pPr>
            <w:r>
              <w:rPr>
                <w:rFonts w:hint="eastAsia"/>
                <w:color w:val="4C4C4C"/>
                <w:sz w:val="18"/>
                <w:szCs w:val="18"/>
              </w:rPr>
              <w:t>离心要求：要求血液标本离心操作的时候加盖，在密闭的环境下进行；离心结束后静置1</w:t>
            </w:r>
            <w:r>
              <w:rPr>
                <w:color w:val="4C4C4C"/>
                <w:sz w:val="18"/>
                <w:szCs w:val="18"/>
              </w:rPr>
              <w:t>5-20</w:t>
            </w:r>
            <w:r>
              <w:rPr>
                <w:rFonts w:hint="eastAsia"/>
                <w:color w:val="4C4C4C"/>
                <w:sz w:val="18"/>
                <w:szCs w:val="18"/>
              </w:rPr>
              <w:t>分钟；开盖环节必须要在生物安全柜内操作，小心轻柔</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color w:val="4C4C4C"/>
                <w:sz w:val="18"/>
                <w:szCs w:val="18"/>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保存</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泄露</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大</w:t>
            </w:r>
          </w:p>
        </w:tc>
        <w:tc>
          <w:tcPr>
            <w:tcW w:w="4111" w:type="dxa"/>
          </w:tcPr>
          <w:p>
            <w:pPr>
              <w:pStyle w:val="5"/>
              <w:spacing w:before="0" w:beforeAutospacing="0" w:after="0" w:afterAutospacing="0"/>
              <w:rPr>
                <w:color w:val="4C4C4C"/>
                <w:sz w:val="18"/>
                <w:szCs w:val="18"/>
              </w:rPr>
            </w:pPr>
            <w:r>
              <w:rPr>
                <w:rFonts w:hint="eastAsia"/>
                <w:color w:val="4C4C4C"/>
                <w:sz w:val="18"/>
                <w:szCs w:val="18"/>
              </w:rPr>
              <w:t>鲜活的动植物产品内部及表面拭子保存液的采样管，能在</w:t>
            </w:r>
            <w:r>
              <w:rPr>
                <w:color w:val="4C4C4C"/>
                <w:sz w:val="18"/>
                <w:szCs w:val="18"/>
              </w:rPr>
              <w:t>24小时内检测的标本可置于4℃保存；24小时内无法检测的标本则应置于-70℃或以下保存（如无-70℃保存条件，则于-20℃冰箱暂存）。血清可在4℃存放3天，-20℃以下可长期保存。设立专库</w:t>
            </w:r>
            <w:r>
              <w:rPr>
                <w:rFonts w:hint="eastAsia"/>
                <w:color w:val="4C4C4C"/>
                <w:sz w:val="18"/>
                <w:szCs w:val="18"/>
              </w:rPr>
              <w:t>、双人双锁，严格登记</w:t>
            </w:r>
            <w:r>
              <w:rPr>
                <w:color w:val="4C4C4C"/>
                <w:sz w:val="18"/>
                <w:szCs w:val="18"/>
              </w:rPr>
              <w:t>。</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color w:val="4C4C4C"/>
                <w:sz w:val="18"/>
                <w:szCs w:val="18"/>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灭活</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气溶胶</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小</w:t>
            </w:r>
          </w:p>
        </w:tc>
        <w:tc>
          <w:tcPr>
            <w:tcW w:w="4111" w:type="dxa"/>
          </w:tcPr>
          <w:p>
            <w:pPr>
              <w:pStyle w:val="5"/>
              <w:spacing w:before="0" w:beforeAutospacing="0" w:after="0" w:afterAutospacing="0"/>
              <w:rPr>
                <w:color w:val="4C4C4C"/>
                <w:sz w:val="18"/>
                <w:szCs w:val="18"/>
              </w:rPr>
            </w:pPr>
            <w:r>
              <w:rPr>
                <w:color w:val="4C4C4C"/>
                <w:sz w:val="18"/>
                <w:szCs w:val="18"/>
              </w:rPr>
              <w:t>56℃金属浴或水浴对样本灭活30分钟。或直接加入病毒裂解液灭活。</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color w:val="4C4C4C"/>
                <w:sz w:val="18"/>
                <w:szCs w:val="18"/>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销毁</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病原扩散</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小</w:t>
            </w:r>
          </w:p>
        </w:tc>
        <w:tc>
          <w:tcPr>
            <w:tcW w:w="4111" w:type="dxa"/>
          </w:tcPr>
          <w:p>
            <w:pPr>
              <w:pStyle w:val="5"/>
              <w:spacing w:before="0" w:beforeAutospacing="0" w:after="0" w:afterAutospacing="0"/>
              <w:rPr>
                <w:color w:val="4C4C4C"/>
                <w:sz w:val="18"/>
                <w:szCs w:val="18"/>
              </w:rPr>
            </w:pPr>
            <w:r>
              <w:rPr>
                <w:rFonts w:hint="eastAsia"/>
                <w:color w:val="4C4C4C"/>
                <w:sz w:val="18"/>
                <w:szCs w:val="18"/>
              </w:rPr>
              <w:t>样本才有样品保存管装，对实验过程产生的废液和枪头等置于含0</w:t>
            </w:r>
            <w:r>
              <w:rPr>
                <w:color w:val="4C4C4C"/>
                <w:sz w:val="18"/>
                <w:szCs w:val="18"/>
              </w:rPr>
              <w:t>.5</w:t>
            </w:r>
            <w:r>
              <w:rPr>
                <w:rFonts w:hint="eastAsia"/>
                <w:color w:val="4C4C4C"/>
                <w:sz w:val="18"/>
                <w:szCs w:val="18"/>
              </w:rPr>
              <w:t>%-</w:t>
            </w:r>
            <w:r>
              <w:rPr>
                <w:color w:val="4C4C4C"/>
                <w:sz w:val="18"/>
                <w:szCs w:val="18"/>
              </w:rPr>
              <w:t>1</w:t>
            </w:r>
            <w:r>
              <w:rPr>
                <w:rFonts w:hint="eastAsia"/>
                <w:color w:val="4C4C4C"/>
                <w:sz w:val="18"/>
                <w:szCs w:val="18"/>
              </w:rPr>
              <w:t>%有效氯消毒液的废液缸。上述物品经过高压灭菌处理再交付医疗垃圾回收公司处理。</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restart"/>
            <w:vAlign w:val="center"/>
          </w:tcPr>
          <w:p>
            <w:pPr>
              <w:pStyle w:val="5"/>
              <w:spacing w:before="0" w:beforeAutospacing="0" w:after="0" w:afterAutospacing="0"/>
              <w:jc w:val="center"/>
              <w:rPr>
                <w:rFonts w:hint="eastAsia" w:ascii="&amp;quot" w:hAnsi="&amp;quot"/>
                <w:b/>
                <w:bCs/>
                <w:color w:val="4C4C4C"/>
                <w:sz w:val="21"/>
                <w:szCs w:val="21"/>
              </w:rPr>
            </w:pPr>
            <w:r>
              <w:rPr>
                <w:rFonts w:hint="eastAsia" w:ascii="&amp;quot" w:hAnsi="&amp;quot"/>
                <w:b/>
                <w:bCs/>
                <w:color w:val="4C4C4C"/>
                <w:sz w:val="21"/>
                <w:szCs w:val="21"/>
              </w:rPr>
              <w:t>核酸检测</w:t>
            </w: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实验室进出</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接触污染</w:t>
            </w:r>
          </w:p>
        </w:tc>
        <w:tc>
          <w:tcPr>
            <w:tcW w:w="992" w:type="dxa"/>
          </w:tcPr>
          <w:p>
            <w:pPr>
              <w:pStyle w:val="5"/>
              <w:spacing w:before="0" w:beforeAutospacing="0" w:after="0" w:afterAutospacing="0"/>
              <w:jc w:val="center"/>
              <w:rPr>
                <w:rFonts w:hint="eastAsia" w:ascii="&amp;quot" w:hAnsi="&amp;quot"/>
                <w:color w:val="4C4C4C"/>
                <w:sz w:val="21"/>
                <w:szCs w:val="21"/>
              </w:rPr>
            </w:pPr>
            <w:r>
              <w:rPr>
                <w:rFonts w:hint="eastAsia" w:ascii="&amp;quot" w:hAnsi="&amp;quot"/>
                <w:color w:val="4C4C4C"/>
                <w:sz w:val="21"/>
                <w:szCs w:val="21"/>
              </w:rPr>
              <w:t>较小</w:t>
            </w:r>
          </w:p>
        </w:tc>
        <w:tc>
          <w:tcPr>
            <w:tcW w:w="4111" w:type="dxa"/>
          </w:tcPr>
          <w:p>
            <w:pPr>
              <w:pStyle w:val="5"/>
              <w:spacing w:before="0" w:beforeAutospacing="0" w:after="0" w:afterAutospacing="0"/>
              <w:rPr>
                <w:color w:val="4C4C4C"/>
                <w:sz w:val="18"/>
                <w:szCs w:val="18"/>
              </w:rPr>
            </w:pPr>
            <w:r>
              <w:rPr>
                <w:rFonts w:hint="eastAsia"/>
                <w:color w:val="4C4C4C"/>
                <w:sz w:val="18"/>
                <w:szCs w:val="18"/>
              </w:rPr>
              <w:t>人员和样本进出生物安全实验室均存在潜在的感染和病原扩散的风险。通过开启实验室负压，严格人流物流分开，严格按规范进出路线，确保病原不扩散，污染环境。人员采用三级生物安全防护。</w:t>
            </w:r>
          </w:p>
        </w:tc>
        <w:tc>
          <w:tcPr>
            <w:tcW w:w="1134" w:type="dxa"/>
          </w:tcPr>
          <w:p>
            <w:pPr>
              <w:pStyle w:val="5"/>
              <w:spacing w:before="0" w:beforeAutospacing="0" w:after="0" w:afterAutospacing="0"/>
              <w:jc w:val="center"/>
              <w:rPr>
                <w:rFonts w:hint="eastAsia" w:ascii="&amp;quot" w:hAnsi="&amp;quot"/>
                <w:color w:val="4C4C4C"/>
                <w:sz w:val="21"/>
                <w:szCs w:val="21"/>
              </w:rPr>
            </w:pPr>
            <w:r>
              <w:rPr>
                <w:rFonts w:hint="eastAsia" w:ascii="&amp;quot" w:hAnsi="&amp;quot"/>
                <w:color w:val="4C4C4C"/>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rFonts w:hint="eastAsia" w:ascii="&amp;quot" w:hAnsi="&amp;quot"/>
                <w:color w:val="4C4C4C"/>
                <w:sz w:val="21"/>
                <w:szCs w:val="21"/>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加样</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溅洒、溢出及气溶胶危害</w:t>
            </w:r>
          </w:p>
        </w:tc>
        <w:tc>
          <w:tcPr>
            <w:tcW w:w="992" w:type="dxa"/>
          </w:tcPr>
          <w:p>
            <w:pPr>
              <w:pStyle w:val="5"/>
              <w:spacing w:before="0" w:beforeAutospacing="0" w:after="0" w:afterAutospacing="0"/>
              <w:jc w:val="center"/>
              <w:rPr>
                <w:rFonts w:hint="eastAsia" w:ascii="&amp;quot" w:hAnsi="&amp;quot"/>
                <w:color w:val="4C4C4C"/>
                <w:sz w:val="21"/>
                <w:szCs w:val="21"/>
              </w:rPr>
            </w:pPr>
            <w:r>
              <w:rPr>
                <w:rFonts w:hint="eastAsia" w:ascii="&amp;quot" w:hAnsi="&amp;quot"/>
                <w:color w:val="4C4C4C"/>
                <w:sz w:val="21"/>
                <w:szCs w:val="21"/>
              </w:rPr>
              <w:t>大</w:t>
            </w:r>
          </w:p>
        </w:tc>
        <w:tc>
          <w:tcPr>
            <w:tcW w:w="4111" w:type="dxa"/>
          </w:tcPr>
          <w:p>
            <w:pPr>
              <w:pStyle w:val="5"/>
              <w:spacing w:before="0" w:beforeAutospacing="0" w:after="0" w:afterAutospacing="0"/>
              <w:rPr>
                <w:color w:val="4C4C4C"/>
                <w:sz w:val="18"/>
                <w:szCs w:val="18"/>
              </w:rPr>
            </w:pPr>
            <w:r>
              <w:rPr>
                <w:rFonts w:hint="eastAsia"/>
                <w:color w:val="4C4C4C"/>
                <w:sz w:val="18"/>
                <w:szCs w:val="18"/>
              </w:rPr>
              <w:t>加样操作确保在BII级生物安全柜中操作；加样完成后用75%酒精擦拭，生物安全柜紫外消毒1小时。确保灭活病毒</w:t>
            </w:r>
          </w:p>
        </w:tc>
        <w:tc>
          <w:tcPr>
            <w:tcW w:w="1134" w:type="dxa"/>
          </w:tcPr>
          <w:p>
            <w:pPr>
              <w:pStyle w:val="5"/>
              <w:spacing w:before="0" w:beforeAutospacing="0" w:after="0" w:afterAutospacing="0"/>
              <w:jc w:val="center"/>
              <w:rPr>
                <w:rFonts w:hint="eastAsia" w:ascii="&amp;quot" w:hAnsi="&amp;quot"/>
                <w:color w:val="4C4C4C"/>
                <w:sz w:val="21"/>
                <w:szCs w:val="21"/>
              </w:rPr>
            </w:pPr>
            <w:r>
              <w:rPr>
                <w:rFonts w:hint="eastAsia" w:ascii="&amp;quot" w:hAnsi="&amp;quot"/>
                <w:color w:val="4C4C4C"/>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rFonts w:hint="eastAsia" w:ascii="&amp;quot" w:hAnsi="&amp;quot"/>
                <w:color w:val="4C4C4C"/>
                <w:sz w:val="21"/>
                <w:szCs w:val="21"/>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核酸提取</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病毒扩散</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大</w:t>
            </w:r>
          </w:p>
        </w:tc>
        <w:tc>
          <w:tcPr>
            <w:tcW w:w="4111" w:type="dxa"/>
          </w:tcPr>
          <w:p>
            <w:pPr>
              <w:pStyle w:val="5"/>
              <w:spacing w:before="0" w:beforeAutospacing="0" w:after="0" w:afterAutospacing="0"/>
              <w:rPr>
                <w:color w:val="4C4C4C"/>
                <w:sz w:val="18"/>
                <w:szCs w:val="18"/>
              </w:rPr>
            </w:pPr>
            <w:r>
              <w:rPr>
                <w:rFonts w:hint="eastAsia"/>
                <w:color w:val="4C4C4C"/>
                <w:sz w:val="18"/>
                <w:szCs w:val="18"/>
              </w:rPr>
              <w:t>采用病毒水浴灭活或裂解液灭活病毒，可降低病毒危害；</w:t>
            </w:r>
          </w:p>
          <w:p>
            <w:pPr>
              <w:pStyle w:val="5"/>
              <w:spacing w:before="0" w:beforeAutospacing="0" w:after="0" w:afterAutospacing="0"/>
              <w:rPr>
                <w:color w:val="4C4C4C"/>
                <w:sz w:val="18"/>
                <w:szCs w:val="18"/>
              </w:rPr>
            </w:pPr>
            <w:r>
              <w:rPr>
                <w:rFonts w:hint="eastAsia"/>
                <w:color w:val="4C4C4C"/>
                <w:sz w:val="18"/>
                <w:szCs w:val="18"/>
              </w:rPr>
              <w:t>采用全自动核酸提取仪自动化提取核酸，全封闭式提取，提取结束后紫外消毒，降低交叉污染的可能</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rFonts w:hint="eastAsia" w:ascii="&amp;quot" w:hAnsi="&amp;quot"/>
                <w:color w:val="4C4C4C"/>
                <w:sz w:val="21"/>
                <w:szCs w:val="21"/>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核酸扩增</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接触污染、气溶胶</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大</w:t>
            </w:r>
          </w:p>
        </w:tc>
        <w:tc>
          <w:tcPr>
            <w:tcW w:w="4111" w:type="dxa"/>
          </w:tcPr>
          <w:p>
            <w:pPr>
              <w:pStyle w:val="5"/>
              <w:spacing w:before="0" w:beforeAutospacing="0" w:after="0" w:afterAutospacing="0"/>
              <w:rPr>
                <w:color w:val="4C4C4C"/>
                <w:sz w:val="18"/>
                <w:szCs w:val="18"/>
              </w:rPr>
            </w:pPr>
            <w:r>
              <w:rPr>
                <w:rFonts w:hint="eastAsia"/>
                <w:color w:val="4C4C4C"/>
                <w:sz w:val="18"/>
                <w:szCs w:val="18"/>
              </w:rPr>
              <w:t>1、打开管盖需动作轻柔缓慢，和操作者面部保持距离。尽可能缩短打开的持续时间；</w:t>
            </w:r>
          </w:p>
          <w:p>
            <w:pPr>
              <w:pStyle w:val="5"/>
              <w:spacing w:before="0" w:beforeAutospacing="0" w:after="0" w:afterAutospacing="0"/>
              <w:rPr>
                <w:color w:val="4C4C4C"/>
                <w:sz w:val="18"/>
                <w:szCs w:val="18"/>
              </w:rPr>
            </w:pPr>
            <w:r>
              <w:rPr>
                <w:rFonts w:hint="eastAsia"/>
                <w:color w:val="4C4C4C"/>
                <w:sz w:val="18"/>
                <w:szCs w:val="18"/>
              </w:rPr>
              <w:t>2、人员采用三级生物安全防护。</w:t>
            </w:r>
          </w:p>
          <w:p>
            <w:pPr>
              <w:pStyle w:val="5"/>
              <w:spacing w:before="0" w:beforeAutospacing="0" w:after="0" w:afterAutospacing="0"/>
              <w:rPr>
                <w:color w:val="4C4C4C"/>
                <w:sz w:val="18"/>
                <w:szCs w:val="18"/>
              </w:rPr>
            </w:pPr>
            <w:r>
              <w:rPr>
                <w:rFonts w:hint="eastAsia"/>
                <w:color w:val="4C4C4C"/>
                <w:sz w:val="18"/>
                <w:szCs w:val="18"/>
              </w:rPr>
              <w:t>3、工作结束后7</w:t>
            </w:r>
            <w:r>
              <w:rPr>
                <w:color w:val="4C4C4C"/>
                <w:sz w:val="18"/>
                <w:szCs w:val="18"/>
              </w:rPr>
              <w:t>5</w:t>
            </w:r>
            <w:r>
              <w:rPr>
                <w:rFonts w:hint="eastAsia"/>
                <w:color w:val="4C4C4C"/>
                <w:sz w:val="18"/>
                <w:szCs w:val="18"/>
              </w:rPr>
              <w:t>%乙醇、含氯消毒剂、紫外灯和脉冲紫外灯清洁消毒工作区域。</w:t>
            </w:r>
          </w:p>
          <w:p>
            <w:pPr>
              <w:pStyle w:val="5"/>
              <w:spacing w:before="0" w:beforeAutospacing="0" w:after="0" w:afterAutospacing="0"/>
              <w:rPr>
                <w:color w:val="4C4C4C"/>
                <w:sz w:val="18"/>
                <w:szCs w:val="18"/>
              </w:rPr>
            </w:pPr>
            <w:r>
              <w:rPr>
                <w:rFonts w:hint="eastAsia"/>
                <w:color w:val="4C4C4C"/>
                <w:sz w:val="18"/>
                <w:szCs w:val="18"/>
              </w:rPr>
              <w:t>4、准备好应急处理用具及方案，如洗眼器、急救箱等。</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restart"/>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人员</w:t>
            </w: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实验室活动</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气溶胶，接触污染</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较小</w:t>
            </w:r>
          </w:p>
        </w:tc>
        <w:tc>
          <w:tcPr>
            <w:tcW w:w="4111" w:type="dxa"/>
          </w:tcPr>
          <w:p>
            <w:pPr>
              <w:pStyle w:val="5"/>
              <w:spacing w:before="0" w:beforeAutospacing="0" w:after="0" w:afterAutospacing="0"/>
              <w:rPr>
                <w:color w:val="4C4C4C"/>
                <w:sz w:val="18"/>
                <w:szCs w:val="18"/>
              </w:rPr>
            </w:pPr>
            <w:r>
              <w:rPr>
                <w:rFonts w:hint="eastAsia"/>
                <w:color w:val="4C4C4C"/>
                <w:sz w:val="18"/>
                <w:szCs w:val="18"/>
              </w:rPr>
              <w:t>个人防护装备：穿着一次性防护服、靴套，N</w:t>
            </w:r>
            <w:r>
              <w:rPr>
                <w:color w:val="4C4C4C"/>
                <w:sz w:val="18"/>
                <w:szCs w:val="18"/>
              </w:rPr>
              <w:t>95</w:t>
            </w:r>
            <w:r>
              <w:rPr>
                <w:rFonts w:hint="eastAsia"/>
                <w:color w:val="4C4C4C"/>
                <w:sz w:val="18"/>
                <w:szCs w:val="18"/>
              </w:rPr>
              <w:t>口罩、双层一次性医用乳胶手套、佩戴防护眼镜或一次性防护面罩；如果接触了样本后及时更换外层乳胶手套。按照脱防护服的标准流程脱去防护装备。手消毒及必要的清洗。</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b/>
                <w:bCs/>
                <w:color w:val="4C4C4C"/>
                <w:sz w:val="18"/>
                <w:szCs w:val="18"/>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生物安全意识</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不规范操作</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较大</w:t>
            </w:r>
          </w:p>
        </w:tc>
        <w:tc>
          <w:tcPr>
            <w:tcW w:w="4111" w:type="dxa"/>
          </w:tcPr>
          <w:p>
            <w:pPr>
              <w:pStyle w:val="5"/>
              <w:spacing w:before="0" w:beforeAutospacing="0" w:after="0" w:afterAutospacing="0"/>
              <w:rPr>
                <w:color w:val="4C4C4C"/>
                <w:sz w:val="18"/>
                <w:szCs w:val="18"/>
              </w:rPr>
            </w:pPr>
            <w:r>
              <w:rPr>
                <w:rFonts w:hint="eastAsia"/>
                <w:color w:val="4C4C4C"/>
                <w:sz w:val="18"/>
                <w:szCs w:val="18"/>
              </w:rPr>
              <w:t>1、开展专业技术培训，新型冠状病毒专项训练合格后方可上岗；</w:t>
            </w:r>
          </w:p>
          <w:p>
            <w:pPr>
              <w:pStyle w:val="5"/>
              <w:spacing w:before="0" w:beforeAutospacing="0" w:after="0" w:afterAutospacing="0"/>
              <w:rPr>
                <w:color w:val="4C4C4C"/>
                <w:sz w:val="18"/>
                <w:szCs w:val="18"/>
              </w:rPr>
            </w:pPr>
            <w:r>
              <w:rPr>
                <w:rFonts w:hint="eastAsia"/>
                <w:color w:val="4C4C4C"/>
                <w:sz w:val="18"/>
                <w:szCs w:val="18"/>
              </w:rPr>
              <w:t>2、开展生物安全应急演练等。</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restart"/>
            <w:vAlign w:val="center"/>
          </w:tcPr>
          <w:p>
            <w:pPr>
              <w:pStyle w:val="5"/>
              <w:spacing w:before="0" w:beforeAutospacing="0" w:after="0" w:afterAutospacing="0"/>
              <w:jc w:val="center"/>
              <w:rPr>
                <w:b/>
                <w:bCs/>
                <w:color w:val="4C4C4C"/>
                <w:sz w:val="18"/>
                <w:szCs w:val="18"/>
              </w:rPr>
            </w:pPr>
            <w:r>
              <w:rPr>
                <w:rFonts w:hint="eastAsia"/>
                <w:b/>
                <w:bCs/>
                <w:color w:val="4C4C4C"/>
                <w:sz w:val="18"/>
                <w:szCs w:val="18"/>
              </w:rPr>
              <w:t>生物安全柜</w:t>
            </w: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检测校准</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泄露</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大</w:t>
            </w:r>
          </w:p>
        </w:tc>
        <w:tc>
          <w:tcPr>
            <w:tcW w:w="4111" w:type="dxa"/>
          </w:tcPr>
          <w:p>
            <w:pPr>
              <w:pStyle w:val="5"/>
              <w:spacing w:before="0" w:beforeAutospacing="0" w:after="0" w:afterAutospacing="0"/>
              <w:rPr>
                <w:color w:val="4C4C4C"/>
                <w:sz w:val="18"/>
                <w:szCs w:val="18"/>
              </w:rPr>
            </w:pPr>
            <w:r>
              <w:rPr>
                <w:rFonts w:hint="eastAsia"/>
                <w:color w:val="4C4C4C"/>
                <w:sz w:val="18"/>
                <w:szCs w:val="18"/>
              </w:rPr>
              <w:t>生物安全柜每年应由资质的检测机构检定合格（包括外观、功率、洁净度等级、垂直气流平均风速、工作窗口进风平均风速、照度、噪音、气流状态）方能使用。如果发生上述指标的异常，应及时更换过滤网或者进行相应的维修。</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Pr>
          <w:p>
            <w:pPr>
              <w:pStyle w:val="5"/>
              <w:spacing w:before="0" w:beforeAutospacing="0" w:after="0" w:afterAutospacing="0"/>
              <w:jc w:val="center"/>
              <w:rPr>
                <w:rFonts w:hint="eastAsia" w:ascii="&amp;quot" w:hAnsi="&amp;quot"/>
                <w:color w:val="4C4C4C"/>
                <w:sz w:val="21"/>
                <w:szCs w:val="21"/>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操作</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泄露</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较大</w:t>
            </w:r>
          </w:p>
        </w:tc>
        <w:tc>
          <w:tcPr>
            <w:tcW w:w="4111" w:type="dxa"/>
          </w:tcPr>
          <w:p>
            <w:pPr>
              <w:pStyle w:val="5"/>
              <w:spacing w:before="0" w:beforeAutospacing="0" w:after="0" w:afterAutospacing="0"/>
              <w:rPr>
                <w:color w:val="4C4C4C"/>
                <w:sz w:val="18"/>
                <w:szCs w:val="18"/>
              </w:rPr>
            </w:pPr>
            <w:r>
              <w:rPr>
                <w:rFonts w:hint="eastAsia"/>
                <w:color w:val="4C4C4C"/>
                <w:sz w:val="18"/>
                <w:szCs w:val="18"/>
              </w:rPr>
              <w:t>风机运行至少5分钟后方可开始操作；柜内尽量少放物品，以免影响气流循环；避免干扰气流，手臂尽量不要频繁出入，手移出生物安全柜应在柜内摘掉外层手套；避免操作者身后人员频繁走动，阻挡空气格栅。</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93" w:type="dxa"/>
            <w:vMerge w:val="continue"/>
          </w:tcPr>
          <w:p>
            <w:pPr>
              <w:pStyle w:val="5"/>
              <w:spacing w:before="0" w:beforeAutospacing="0" w:after="0" w:afterAutospacing="0"/>
              <w:jc w:val="center"/>
              <w:rPr>
                <w:rFonts w:hint="eastAsia" w:ascii="&amp;quot" w:hAnsi="&amp;quot"/>
                <w:color w:val="4C4C4C"/>
                <w:sz w:val="21"/>
                <w:szCs w:val="21"/>
              </w:rPr>
            </w:pPr>
          </w:p>
        </w:tc>
        <w:tc>
          <w:tcPr>
            <w:tcW w:w="709" w:type="dxa"/>
          </w:tcPr>
          <w:p>
            <w:pPr>
              <w:pStyle w:val="5"/>
              <w:spacing w:before="0" w:beforeAutospacing="0" w:after="0" w:afterAutospacing="0"/>
              <w:jc w:val="center"/>
              <w:rPr>
                <w:color w:val="4C4C4C"/>
                <w:sz w:val="18"/>
                <w:szCs w:val="18"/>
              </w:rPr>
            </w:pPr>
            <w:r>
              <w:rPr>
                <w:rFonts w:hint="eastAsia"/>
                <w:color w:val="4C4C4C"/>
                <w:sz w:val="18"/>
                <w:szCs w:val="18"/>
              </w:rPr>
              <w:t>消毒</w:t>
            </w:r>
          </w:p>
        </w:tc>
        <w:tc>
          <w:tcPr>
            <w:tcW w:w="850" w:type="dxa"/>
          </w:tcPr>
          <w:p>
            <w:pPr>
              <w:pStyle w:val="5"/>
              <w:spacing w:before="0" w:beforeAutospacing="0" w:after="0" w:afterAutospacing="0"/>
              <w:jc w:val="center"/>
              <w:rPr>
                <w:color w:val="4C4C4C"/>
                <w:sz w:val="18"/>
                <w:szCs w:val="18"/>
              </w:rPr>
            </w:pPr>
            <w:r>
              <w:rPr>
                <w:rFonts w:hint="eastAsia"/>
                <w:color w:val="4C4C4C"/>
                <w:sz w:val="18"/>
                <w:szCs w:val="18"/>
              </w:rPr>
              <w:t>环境污染</w:t>
            </w:r>
          </w:p>
        </w:tc>
        <w:tc>
          <w:tcPr>
            <w:tcW w:w="992" w:type="dxa"/>
          </w:tcPr>
          <w:p>
            <w:pPr>
              <w:pStyle w:val="5"/>
              <w:spacing w:before="0" w:beforeAutospacing="0" w:after="0" w:afterAutospacing="0"/>
              <w:jc w:val="center"/>
              <w:rPr>
                <w:color w:val="4C4C4C"/>
                <w:sz w:val="18"/>
                <w:szCs w:val="18"/>
              </w:rPr>
            </w:pPr>
            <w:r>
              <w:rPr>
                <w:rFonts w:hint="eastAsia"/>
                <w:color w:val="4C4C4C"/>
                <w:sz w:val="18"/>
                <w:szCs w:val="18"/>
              </w:rPr>
              <w:t>小</w:t>
            </w:r>
          </w:p>
        </w:tc>
        <w:tc>
          <w:tcPr>
            <w:tcW w:w="4111" w:type="dxa"/>
          </w:tcPr>
          <w:p>
            <w:pPr>
              <w:pStyle w:val="5"/>
              <w:spacing w:before="0" w:beforeAutospacing="0" w:after="0" w:afterAutospacing="0"/>
              <w:rPr>
                <w:color w:val="4C4C4C"/>
                <w:sz w:val="18"/>
                <w:szCs w:val="18"/>
              </w:rPr>
            </w:pPr>
            <w:r>
              <w:rPr>
                <w:rFonts w:hint="eastAsia"/>
                <w:color w:val="4C4C4C"/>
                <w:sz w:val="18"/>
                <w:szCs w:val="18"/>
              </w:rPr>
              <w:t>工作完成后，使用适当消毒剂擦拭表面，紫外消毒至少3</w:t>
            </w:r>
            <w:r>
              <w:rPr>
                <w:color w:val="4C4C4C"/>
                <w:sz w:val="18"/>
                <w:szCs w:val="18"/>
              </w:rPr>
              <w:t>0</w:t>
            </w:r>
            <w:r>
              <w:rPr>
                <w:rFonts w:hint="eastAsia"/>
                <w:color w:val="4C4C4C"/>
                <w:sz w:val="18"/>
                <w:szCs w:val="18"/>
              </w:rPr>
              <w:t>分钟。</w:t>
            </w:r>
          </w:p>
        </w:tc>
        <w:tc>
          <w:tcPr>
            <w:tcW w:w="1134" w:type="dxa"/>
          </w:tcPr>
          <w:p>
            <w:pPr>
              <w:pStyle w:val="5"/>
              <w:spacing w:before="0" w:beforeAutospacing="0" w:after="0" w:afterAutospacing="0"/>
              <w:jc w:val="center"/>
              <w:rPr>
                <w:color w:val="4C4C4C"/>
                <w:sz w:val="18"/>
                <w:szCs w:val="18"/>
              </w:rPr>
            </w:pPr>
            <w:r>
              <w:rPr>
                <w:rFonts w:hint="eastAsia"/>
                <w:color w:val="4C4C4C"/>
                <w:sz w:val="18"/>
                <w:szCs w:val="18"/>
              </w:rPr>
              <w:t>低</w:t>
            </w:r>
          </w:p>
        </w:tc>
      </w:tr>
    </w:tbl>
    <w:p>
      <w:pPr>
        <w:pStyle w:val="13"/>
        <w:adjustRightInd w:val="0"/>
        <w:snapToGrid w:val="0"/>
        <w:spacing w:line="360" w:lineRule="auto"/>
        <w:ind w:firstLine="480" w:firstLineChars="200"/>
        <w:rPr>
          <w:rFonts w:ascii="宋体" w:hAnsi="宋体" w:eastAsia="宋体" w:cs="宋体"/>
          <w:kern w:val="0"/>
          <w:sz w:val="24"/>
          <w:szCs w:val="21"/>
        </w:rPr>
      </w:pPr>
    </w:p>
    <w:p>
      <w:pPr>
        <w:spacing w:line="360" w:lineRule="auto"/>
        <w:rPr>
          <w:rFonts w:ascii="宋体" w:hAnsi="宋体" w:cs="宋体"/>
          <w:b/>
          <w:kern w:val="0"/>
          <w:sz w:val="24"/>
        </w:rPr>
      </w:pPr>
      <w:r>
        <w:rPr>
          <w:rFonts w:hint="eastAsia" w:ascii="宋体" w:hAnsi="宋体" w:cs="宋体"/>
          <w:b/>
          <w:kern w:val="0"/>
          <w:sz w:val="24"/>
        </w:rPr>
        <w:t xml:space="preserve">8. 关键设施、设备相关风险 </w:t>
      </w:r>
    </w:p>
    <w:p>
      <w:pPr>
        <w:pStyle w:val="13"/>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实验室的生物安全设施、设备包括负压工作间、生物安全柜、高压蒸汽灭菌器和离心机等，如果上述设施、设备的工作状态异常，可能导致有潜在危害的气溶胶泄漏或灭菌效果不确实等生物安全风险。为保证生物安全设施、设备的正常运行，每年必须定期检查和校验，并由经过培训的人员负责操作、维护。</w:t>
      </w:r>
    </w:p>
    <w:p>
      <w:pPr>
        <w:pStyle w:val="13"/>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在实验操作前，工作人员应密切观察并及时调整负压工作间的压力，使之保持相对稳定；生物安全柜应定期检查和验证，根据需要及时更换高效过滤装置；对高压蒸汽灭菌器除定期检查和校验外，定期采用温度测试纸条进行使用效果监测。所有生物安全设备应建立相关记录和使用状态标识。由于提取核酸的实验样品进入离心操作之前，潜在病毒已经裂解灭活，在严格执行实验操作规程的情况下，离心机带来的设备风险很小。</w:t>
      </w:r>
    </w:p>
    <w:p>
      <w:pPr>
        <w:pStyle w:val="13"/>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在实验操作完成后，按程序文件规定工作人员应开启紫外杀菌灯对生物安全柜和实验工作区进行消毒，减少生物安全设施、设备关停期间的生物安全风险。</w:t>
      </w:r>
    </w:p>
    <w:p>
      <w:pPr>
        <w:spacing w:line="360" w:lineRule="auto"/>
        <w:rPr>
          <w:rFonts w:ascii="宋体" w:hAnsi="宋体" w:cs="宋体"/>
          <w:b/>
          <w:kern w:val="0"/>
          <w:sz w:val="24"/>
        </w:rPr>
      </w:pPr>
      <w:r>
        <w:rPr>
          <w:rFonts w:hint="eastAsia" w:ascii="宋体" w:hAnsi="宋体" w:cs="宋体"/>
          <w:b/>
          <w:kern w:val="0"/>
          <w:sz w:val="24"/>
        </w:rPr>
        <w:t>9. 意外事故的处理</w:t>
      </w:r>
    </w:p>
    <w:p>
      <w:pPr>
        <w:spacing w:line="360" w:lineRule="auto"/>
        <w:rPr>
          <w:rFonts w:hint="eastAsia" w:ascii="宋体" w:hAnsi="宋体" w:cs="宋体"/>
          <w:b/>
          <w:bCs/>
          <w:kern w:val="0"/>
          <w:sz w:val="24"/>
        </w:rPr>
      </w:pPr>
      <w:r>
        <w:rPr>
          <w:rFonts w:hint="eastAsia" w:ascii="宋体" w:hAnsi="宋体" w:cs="宋体"/>
          <w:b/>
          <w:bCs/>
          <w:kern w:val="0"/>
          <w:sz w:val="24"/>
        </w:rPr>
        <w:t>9.1  被误用、恶意使用及意外事件、事故带来的风险</w:t>
      </w:r>
    </w:p>
    <w:p>
      <w:pPr>
        <w:tabs>
          <w:tab w:val="left" w:pos="1666"/>
        </w:tabs>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9.1.1  当潜在新城疫病毒的包装破碎时，立即打开处理盒，取出纱布覆盖破损物品，然后在上面喷洒含 1%有效氯的次氯酸钠溶液或 75%酒精，作用 30 分钟后将纱布及破碎物品放入指定密封塑料袋中，再用镊子夹住纱布，喷洒 1%次氯酸钠或 75%酒精，擦拭污染区域，用过的纱布也放入指定密封塑料袋中，镊子等可回收器具在 75%酒精中浸泡 24 小时后高压灭菌处理。一旦感染性材料溅到或沾到手、脸等，应立即用75%酒精消毒，然后用清水充分清洗皮肤。如果感染性材料溅到眼里，则应立即用洗眼器冲洗眼睛，在操作感染性材料时要事先做好防护，尤其是眼部防护，应该尽可能避免生物安全事故的发生。</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9.1.2  当生物安全柜故障导致感染性气溶胶泄漏时，实验人员立即停止工作，报告安全负责人，按《实验室个人防护装备及进入、退出程序》迅速撤离，打开紫外灯 30 分钟消毒处理，同时通风系统继续运行 1 小时以上。</w:t>
      </w:r>
    </w:p>
    <w:p>
      <w:pPr>
        <w:tabs>
          <w:tab w:val="left" w:pos="1666"/>
        </w:tabs>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9.1.3  当潜在新城疫病毒样本在储存过程中发生被盗、被抢、丢失时，样品管理员应立即向实验室主任报告，并由技术中心主任在两小时内向广东省农业厅报告，同时向深圳市所辖派出所报案。对于恶意破坏性事故，发现人员应立即制止，并向实验室主任报告，必要时报警。</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9.1.4  当发生断电时监控人员必须立即通知操作人员停止实验，清理工作区，并在 60 分钟内按《实验室个人防护装备及进入、退出程序》迅速撤离，同时报告安全负责人。</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当通风系统发生故障时，送排风系统同时发生故障或排风系统发生故障时，操作人员立即停止实验，迅速按下报警装置，并按《实验室个人防护装备及进入、退出程序》迅速撤离（其他区域的操作人员由监控人员通知撤离）。同时报告安全负责人和实验室主任，采取防感染性材料扩散措施，并组织人员排除设备机械故障。</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当送风系统发生故障时，监控人员立即通知操作人员停止实验，清理工作区，并按《实验室个人防护装备及进入、退出程序》离开操作区，同时报告安全负责人和技术部负责人，组织人员排除设备机械故障。</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当互锁门发生故障时，立即呼叫监控人员，指派专人将故障互锁门控制器的电源断开，即可解锁，故障排除后恢复电源。</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当仪器设备电气部位起火，立即切断仪器设备电源，无明火或能扑灭的初期明火火险，首先要采取有效措施扑灭明火，消灭火源，以防复燃，然后按规定和要求撤离。遇无法扑灭的火险时，迅速关闭室内各房间的门，按下报警按钮，时间允许时立即切断电源，按规定和要求撤离。值班人员立即拨打 119 报警，并酌情封锁现场。</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当发生供水管道、下水管道破裂或下水管道堵塞时，立即关闭水源总阀门或立即停止排放污水。立即向实验室主任报告，组织有关人员尽快维修，并制定和采取有效的预防和生物安全控制措施。</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当发生地震时，应迅速脱卸个人防护用品，按规定从最短撤离路线迅速撤离。撤离时遇通道门变形不易开启时，酌情采取破坏性的开启方法。当室内人员撤离后，立即封闭实验室外门，并撤离。当震情解除后，安全负责人立即提请生物安全委员会组织专业人员对生物安全二级实验室采取消毒措施。</w:t>
      </w:r>
    </w:p>
    <w:p>
      <w:pPr>
        <w:pStyle w:val="3"/>
        <w:spacing w:before="0" w:after="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9.2  风险的范围、性质和时限</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实验室检验所涉及的生物危害，主要是实验样品中潜在的新城疫病毒，病毒可能在样品接受、传递、储存、试验操作和废弃物处理等过程中意外溢出，直接或间接感染操作人员和污染环境，造成生物安全危害。</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新城疫病毒在低温条件下抵抗力强，在 4℃可存活 1-2 年，－20℃时能存活 10 年以上；真空冻干病毒在 30℃可保存 30 天，15℃可保存 230 天；不同毒株对热的稳定性有较大的差异。</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按照《生物安全实验室建筑技术规范》（GB50346 ）、《实验室生物安全通用要求》（GB19489）、《兽医实验室生物安全管理规范》（2003 年农业部第 302 号公告）、《出入境动物检疫实验室生物安全分级技术要求》（SN/T2024-2007）、《动物检疫实验室生物安全操作规范》（SN/T2025-2007）等要求，本实验室建立健全了生物安全管理体系文件，该体系的运行和实施，能够最大限度减少或控制新城疫病毒检验所带来的风险范围和时限。</w:t>
      </w:r>
    </w:p>
    <w:p>
      <w:pPr>
        <w:pStyle w:val="3"/>
        <w:spacing w:before="0" w:after="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9.3  风险发生的概率、可能产生的危害和保障措施</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本实验室已运行七年时间，尚未发生任何风险事件，因此还未积累风险发生的概率运算资料。从动物检疫的专业角度看，本实验室拟操作的生物材料为潜在新城疫病毒样品，生物危害风险较高，一旦发生感染性材料泄漏，可能引起人类或者动物严重疾病。资料表明，国内同类实验室的检测结果中，新城疫病毒样品的阳性检出率较低，本实验室初始运行以来检出新城疫病毒核酸阳性样品。</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保障措施：</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1）建立健全实验室安全管理体系，加强生物安全管理，完善有关生物安全规章制度，配备必要的人员，使生物安全管理做到科学化、规范化、制度化。</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2）加强对专业人员进行有关生物安全知识的培训、考核，提高专业人员生物安全防护意识和能力，掌握实验室技术规范、操作规程、生物安全防护知识和实际操作技能，提高处置实验室生物安全泄漏等重大事故时的应急能力。</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3）做好物资储备、保障经费支持，合理安排实验室生物安全泄漏重大事件应急工作，做好各类应急物资储备，包括防护用品、应急预防性药物、对症治疗药品、消杀药械、检测试剂等物资。</w:t>
      </w:r>
    </w:p>
    <w:p>
      <w:pPr>
        <w:pStyle w:val="3"/>
        <w:spacing w:before="0" w:after="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9.4  可接受的风险</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实验室活动过程的风险中，实验样品在接受、传递、储存过程中发生的泄漏或污染所造成的生物危害风险较高，实验室不可接受，实验操作人员必须遵守相关实验操作规程，杜绝实验样品在接受、传递、储存过程中发生泄漏或污染。进入实验区后实验样品在生物安全柜内的暴露及其残余风险在本生物安全二级实验室的接受范围之内。</w:t>
      </w:r>
    </w:p>
    <w:p>
      <w:pPr>
        <w:pStyle w:val="3"/>
        <w:spacing w:before="0" w:after="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9.5  外部人员活动、使用外部提供的物品等带来的风险</w:t>
      </w:r>
    </w:p>
    <w:p>
      <w:pPr>
        <w:autoSpaceDE w:val="0"/>
        <w:autoSpaceDN w:val="0"/>
        <w:adjustRightInd w:val="0"/>
        <w:spacing w:line="360" w:lineRule="auto"/>
        <w:ind w:firstLine="463" w:firstLineChars="193"/>
        <w:jc w:val="left"/>
        <w:rPr>
          <w:rFonts w:ascii="宋体" w:hAnsi="宋体" w:cs="宋体"/>
          <w:kern w:val="0"/>
          <w:sz w:val="24"/>
        </w:rPr>
      </w:pPr>
      <w:r>
        <w:rPr>
          <w:rFonts w:hint="eastAsia" w:ascii="宋体" w:hAnsi="宋体" w:cs="宋体"/>
          <w:kern w:val="0"/>
          <w:sz w:val="24"/>
        </w:rPr>
        <w:t>对来访者和合同方人员的准入，按照《人员准入程序》规定，由安全负责人对来访者（包括评审人员、检定/校准人员、进修生、研究生和实习生等人员）和合同方人员，进行简要的生物安全知识和本实验室安全手册的培训，并告知其可能面临的风险。同时，来访者和合同方人员只有经培训并签署已知可能面临风险的申明后，经实验室主任批准后方可进入实验室。通过培训和适当的控制，减少外来人员活动带来的风险。</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采购实验室所用物品时必须从合格供应商处购买，材料管理岗位人员需对物品进行验收，并将验收和使用中发现的不符合情况反馈给综合部，综合部根据部门提供的情况记录在供应商档案中。按照《实验室材料管理程序》规定，对提供服务和实验室物品的供应商每年进行评价和年审，在年审中经评估不合格的取消供应商资格。对于特殊情况下需要采购未列入中心合格供应商名录的重要易耗品，需经中心技术负责人批准，经验证评价合格后，按新增合格供应商的评审程序进行评估，尽量减少因使用外部提供物品等带来的风险。</w:t>
      </w:r>
    </w:p>
    <w:p>
      <w:pPr>
        <w:pStyle w:val="3"/>
        <w:spacing w:before="0" w:after="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9.6  残余风险和控制措施</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根据实验室操作内容和流程，残余风险潜在与有害气溶胶和废弃物的最后流向。有害气溶胶中的生物因子是在生物安全柜内被其高效过滤器阻滞，并阶段性留存或被紫外照射、熏蒸消毒等杀灭。因此，保证高效过滤器的完整性是控制潜在残余风险的关键，应严格按照实验室程序文件对生物安全柜进行至少每年一次的高效过滤器完整性测试。目前检测机构采用激光尘埃粒子计数器进行基本洁净度和过滤器泄漏扫描定点测试，如果检测数据异常必须及时更换高效过滤器，高效过滤器应由有资质的机构进行更换和合格测试，并按相关要求对废旧高效过滤器进行妥善处理。</w:t>
      </w:r>
    </w:p>
    <w:p>
      <w:pPr>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实验废弃物经过严格高压灭菌处理后不存在残余生物安全风险，但其中经毁形器处理的锐器物仍存在刺伤人员等安全隐患，其最后流向必须交给有资质的医疗垃圾回收机构妥善处理。用于洗手或洗眼的废水经管道排入指定的不锈钢双重消毒池内，经 1%有效氯的次氯酸钠消毒后排入下水道。</w:t>
      </w:r>
    </w:p>
    <w:p>
      <w:pPr>
        <w:spacing w:line="360" w:lineRule="auto"/>
        <w:rPr>
          <w:rFonts w:ascii="宋体" w:hAnsi="宋体" w:cs="宋体"/>
          <w:b/>
          <w:kern w:val="0"/>
          <w:sz w:val="24"/>
        </w:rPr>
      </w:pPr>
      <w:r>
        <w:rPr>
          <w:rFonts w:hint="eastAsia" w:ascii="宋体" w:hAnsi="宋体" w:cs="宋体"/>
          <w:b/>
          <w:kern w:val="0"/>
          <w:sz w:val="24"/>
        </w:rPr>
        <w:t>10. 评估综合结论</w:t>
      </w:r>
    </w:p>
    <w:p>
      <w:pPr>
        <w:tabs>
          <w:tab w:val="left" w:pos="6280"/>
        </w:tabs>
        <w:autoSpaceDE w:val="0"/>
        <w:autoSpaceDN w:val="0"/>
        <w:adjustRightInd w:val="0"/>
        <w:spacing w:line="360" w:lineRule="auto"/>
        <w:ind w:firstLine="484" w:firstLineChars="202"/>
        <w:jc w:val="left"/>
        <w:rPr>
          <w:rFonts w:ascii="宋体" w:hAnsi="宋体" w:cs="宋体"/>
          <w:kern w:val="0"/>
          <w:sz w:val="24"/>
        </w:rPr>
      </w:pPr>
      <w:r>
        <w:rPr>
          <w:rFonts w:hint="eastAsia" w:ascii="宋体" w:hAnsi="宋体" w:cs="宋体"/>
          <w:kern w:val="0"/>
          <w:sz w:val="24"/>
        </w:rPr>
        <w:t>新城疫是国家农业部“一二三类动物疫病病种名录”的一类动物疫病，按“农业部关于进一步规范高致病性动物病原微生物实验活动审批工作的通知”（农医发[2008]27 号）文件中“动物病原微生物实验活动生物安全要求细则”及《检验检疫动物病原微生物实验活动生物安全要求细则》（SN/T 2984-2011）中的规定，本实验室拟操作的新城疫相关实验所需实验室生物安全级别为二级。实验室活动涉及的生物因子为实验样品中潜在的新城疫病毒，如果病毒在样品接受、传递、储存、试验操作和废弃物处理等过程中意外溢出，可能直接或间接感染操作人员和污染环境，造成生物安全危害，实验室必须按照相关规定采取严格的控制措施。实验室的设施设备、生物安全管理体系文件以及拟操作的实验内容均符合《病原微生物实验室生物安全管理条例》（中华人民共和国国务院令第424号）、《实验室生物安全通用要求》（GB19489-2008）和 CNAS-CL05:2009《实验室生物安全认可准则》等有关实验室生物安全的规定和要求，并严格按国家质检总局《关于进一步加强动物检疫实验室生物安全管理的通知》（国质检动函[2009]112 号）的要求开展实验室检测工作。</w:t>
      </w:r>
    </w:p>
    <w:p>
      <w:pPr>
        <w:autoSpaceDE w:val="0"/>
        <w:autoSpaceDN w:val="0"/>
        <w:adjustRightInd w:val="0"/>
        <w:spacing w:line="360" w:lineRule="auto"/>
        <w:ind w:firstLine="470" w:firstLineChars="196"/>
        <w:jc w:val="left"/>
        <w:rPr>
          <w:rFonts w:ascii="宋体" w:hAnsi="宋体" w:cs="宋体"/>
          <w:kern w:val="0"/>
          <w:sz w:val="24"/>
        </w:rPr>
      </w:pPr>
      <w:r>
        <w:rPr>
          <w:rFonts w:hint="eastAsia" w:ascii="宋体" w:hAnsi="宋体" w:cs="宋体"/>
          <w:kern w:val="0"/>
          <w:sz w:val="24"/>
        </w:rPr>
        <w:t>经综合评估实验室活动的内容和风险控制措施，认为本实验室涉及的生物安全风险在可接受水平。</w:t>
      </w:r>
    </w:p>
    <w:p>
      <w:pPr>
        <w:autoSpaceDE w:val="0"/>
        <w:autoSpaceDN w:val="0"/>
        <w:adjustRightInd w:val="0"/>
        <w:spacing w:line="360" w:lineRule="auto"/>
        <w:jc w:val="center"/>
        <w:rPr>
          <w:rFonts w:ascii="仿宋_GB2312" w:eastAsia="仿宋_GB2312"/>
          <w:sz w:val="28"/>
          <w:szCs w:val="28"/>
        </w:rPr>
      </w:pPr>
      <w:r>
        <w:rPr>
          <w:rFonts w:hint="eastAsia" w:ascii="仿宋_GB2312" w:eastAsia="仿宋_GB2312"/>
          <w:sz w:val="28"/>
          <w:szCs w:val="28"/>
        </w:rPr>
        <w:t>*  *  *  *  *  *</w:t>
      </w:r>
    </w:p>
    <w:p>
      <w:pPr>
        <w:autoSpaceDE w:val="0"/>
        <w:autoSpaceDN w:val="0"/>
        <w:adjustRightInd w:val="0"/>
        <w:spacing w:line="360" w:lineRule="auto"/>
        <w:jc w:val="center"/>
        <w:rPr>
          <w:rFonts w:ascii="仿宋_GB2312" w:eastAsia="仿宋_GB2312"/>
          <w:sz w:val="28"/>
          <w:szCs w:val="28"/>
        </w:rPr>
      </w:pPr>
    </w:p>
    <w:p>
      <w:pPr>
        <w:autoSpaceDE w:val="0"/>
        <w:autoSpaceDN w:val="0"/>
        <w:adjustRightInd w:val="0"/>
        <w:spacing w:line="360" w:lineRule="auto"/>
        <w:jc w:val="center"/>
        <w:rPr>
          <w:rFonts w:ascii="仿宋_GB2312" w:hAnsi="宋体" w:eastAsia="仿宋_GB2312"/>
          <w:kern w:val="0"/>
          <w:sz w:val="28"/>
          <w:szCs w:val="28"/>
        </w:rPr>
      </w:pPr>
    </w:p>
    <w:p>
      <w:pPr>
        <w:pStyle w:val="4"/>
        <w:spacing w:before="0" w:after="0"/>
        <w:rPr>
          <w:rFonts w:ascii="仿宋_GB2312" w:hAnsi="宋体" w:eastAsia="仿宋_GB2312" w:cs="宋体"/>
          <w:bCs w:val="0"/>
          <w:sz w:val="28"/>
          <w:szCs w:val="28"/>
        </w:rPr>
      </w:pPr>
      <w:r>
        <w:rPr>
          <w:rFonts w:hint="eastAsia" w:ascii="仿宋_GB2312" w:hAnsi="宋体" w:eastAsia="仿宋_GB2312" w:cs="宋体"/>
          <w:bCs w:val="0"/>
          <w:sz w:val="28"/>
          <w:szCs w:val="28"/>
        </w:rPr>
        <w:t>参考资料</w:t>
      </w:r>
    </w:p>
    <w:p>
      <w:pPr>
        <w:pStyle w:val="13"/>
        <w:adjustRightInd w:val="0"/>
        <w:snapToGrid w:val="0"/>
        <w:spacing w:line="360" w:lineRule="auto"/>
        <w:rPr>
          <w:rFonts w:ascii="宋体" w:hAnsi="宋体" w:eastAsia="宋体" w:cs="宋体"/>
          <w:kern w:val="0"/>
          <w:sz w:val="24"/>
          <w:szCs w:val="21"/>
        </w:rPr>
      </w:pPr>
      <w:r>
        <w:rPr>
          <w:rFonts w:hint="eastAsia" w:ascii="宋体" w:hAnsi="宋体" w:eastAsia="宋体" w:cs="宋体"/>
          <w:kern w:val="0"/>
          <w:sz w:val="24"/>
          <w:szCs w:val="21"/>
        </w:rPr>
        <w:t>【1】《病原微生物实验室生物安全管理条例》（中华人民共和国国务院令第424号）.</w:t>
      </w:r>
    </w:p>
    <w:p>
      <w:pPr>
        <w:pStyle w:val="13"/>
        <w:adjustRightInd w:val="0"/>
        <w:snapToGrid w:val="0"/>
        <w:spacing w:line="360" w:lineRule="auto"/>
        <w:rPr>
          <w:rFonts w:ascii="宋体" w:hAnsi="宋体" w:eastAsia="宋体" w:cs="宋体"/>
          <w:kern w:val="0"/>
          <w:sz w:val="24"/>
          <w:szCs w:val="21"/>
        </w:rPr>
      </w:pPr>
      <w:r>
        <w:rPr>
          <w:rFonts w:hint="eastAsia" w:ascii="宋体" w:hAnsi="宋体" w:eastAsia="宋体" w:cs="宋体"/>
          <w:kern w:val="0"/>
          <w:sz w:val="24"/>
          <w:szCs w:val="21"/>
        </w:rPr>
        <w:t>【2】《医疗废物管理条例》（中华人民共和国国务院令第380号）</w:t>
      </w:r>
    </w:p>
    <w:p>
      <w:pPr>
        <w:pStyle w:val="13"/>
        <w:adjustRightInd w:val="0"/>
        <w:snapToGrid w:val="0"/>
        <w:spacing w:line="360" w:lineRule="auto"/>
        <w:rPr>
          <w:rFonts w:ascii="宋体" w:hAnsi="宋体" w:eastAsia="宋体" w:cs="宋体"/>
          <w:kern w:val="0"/>
          <w:sz w:val="24"/>
          <w:szCs w:val="21"/>
        </w:rPr>
      </w:pPr>
      <w:r>
        <w:rPr>
          <w:rFonts w:hint="eastAsia" w:ascii="宋体" w:hAnsi="宋体" w:eastAsia="宋体" w:cs="宋体"/>
          <w:kern w:val="0"/>
          <w:sz w:val="24"/>
          <w:szCs w:val="21"/>
        </w:rPr>
        <w:t>【3】《实验室生物安全通用要求》（GB19489）</w:t>
      </w:r>
    </w:p>
    <w:p>
      <w:pPr>
        <w:rPr>
          <w:rFonts w:ascii="宋体" w:hAnsi="宋体" w:cs="宋体"/>
          <w:kern w:val="0"/>
          <w:sz w:val="24"/>
          <w:szCs w:val="21"/>
        </w:rPr>
      </w:pPr>
      <w:r>
        <w:rPr>
          <w:rFonts w:hint="eastAsia" w:ascii="宋体" w:hAnsi="宋体" w:cs="宋体"/>
          <w:kern w:val="0"/>
          <w:sz w:val="24"/>
          <w:szCs w:val="21"/>
        </w:rPr>
        <w:t>【4】世界动物卫生组织（OIE）发布的《陆生动物诊断试验和疫苗手册》（2019）第3.3.14章《新城疫病毒》技术规范.</w:t>
      </w:r>
    </w:p>
    <w:p>
      <w:pPr>
        <w:rPr>
          <w:rFonts w:ascii="宋体" w:hAnsi="宋体" w:cs="宋体"/>
          <w:kern w:val="0"/>
          <w:sz w:val="24"/>
          <w:szCs w:val="21"/>
        </w:rPr>
      </w:pPr>
      <w:r>
        <w:rPr>
          <w:rFonts w:hint="eastAsia" w:ascii="宋体" w:hAnsi="宋体" w:cs="宋体"/>
          <w:kern w:val="0"/>
          <w:sz w:val="24"/>
          <w:szCs w:val="21"/>
        </w:rPr>
        <w:t>【5】</w:t>
      </w:r>
      <w:r>
        <w:rPr>
          <w:rFonts w:ascii="宋体" w:hAnsi="宋体" w:cs="宋体"/>
          <w:kern w:val="0"/>
          <w:sz w:val="24"/>
          <w:szCs w:val="21"/>
        </w:rPr>
        <w:t>（美）Y.M.Saif主编,苏敬良等译. 2005.禽病学(第 11 版).中国农业出版社.</w:t>
      </w:r>
    </w:p>
    <w:p>
      <w:pPr>
        <w:tabs>
          <w:tab w:val="left" w:pos="2826"/>
          <w:tab w:val="left" w:pos="3413"/>
          <w:tab w:val="left" w:pos="5146"/>
          <w:tab w:val="left" w:pos="6800"/>
        </w:tabs>
        <w:autoSpaceDE w:val="0"/>
        <w:autoSpaceDN w:val="0"/>
        <w:adjustRightInd w:val="0"/>
        <w:spacing w:line="360" w:lineRule="auto"/>
        <w:jc w:val="left"/>
        <w:rPr>
          <w:rFonts w:ascii="宋体" w:hAnsi="宋体" w:cs="宋体"/>
          <w:kern w:val="0"/>
          <w:sz w:val="24"/>
          <w:szCs w:val="21"/>
        </w:rPr>
      </w:pPr>
      <w:r>
        <w:rPr>
          <w:rFonts w:hint="eastAsia" w:ascii="宋体" w:hAnsi="宋体" w:cs="宋体"/>
          <w:kern w:val="0"/>
          <w:sz w:val="24"/>
          <w:szCs w:val="21"/>
        </w:rPr>
        <w:t>【6】</w:t>
      </w:r>
      <w:r>
        <w:rPr>
          <w:rFonts w:ascii="宋体" w:hAnsi="宋体" w:cs="宋体"/>
          <w:kern w:val="0"/>
          <w:sz w:val="24"/>
          <w:szCs w:val="21"/>
        </w:rPr>
        <w:t>吴阶平主编，2004.禽流感防治手册.北京出版社.</w:t>
      </w:r>
    </w:p>
    <w:p>
      <w:pPr>
        <w:tabs>
          <w:tab w:val="left" w:pos="2826"/>
          <w:tab w:val="left" w:pos="3413"/>
          <w:tab w:val="left" w:pos="5146"/>
          <w:tab w:val="left" w:pos="6800"/>
        </w:tabs>
        <w:autoSpaceDE w:val="0"/>
        <w:autoSpaceDN w:val="0"/>
        <w:adjustRightInd w:val="0"/>
        <w:spacing w:line="360" w:lineRule="auto"/>
        <w:jc w:val="left"/>
        <w:rPr>
          <w:rFonts w:ascii="宋体" w:hAnsi="宋体" w:cs="宋体"/>
          <w:kern w:val="0"/>
          <w:sz w:val="24"/>
          <w:szCs w:val="21"/>
        </w:rPr>
      </w:pPr>
      <w:r>
        <w:rPr>
          <w:rFonts w:hint="eastAsia" w:ascii="宋体" w:hAnsi="宋体" w:cs="宋体"/>
          <w:kern w:val="0"/>
          <w:sz w:val="24"/>
          <w:szCs w:val="21"/>
        </w:rPr>
        <w:t>【7】</w:t>
      </w:r>
      <w:r>
        <w:rPr>
          <w:rFonts w:ascii="宋体" w:hAnsi="宋体" w:cs="宋体"/>
          <w:kern w:val="0"/>
          <w:sz w:val="24"/>
          <w:szCs w:val="21"/>
        </w:rPr>
        <w:t>蔡宝祥主编,2006.家畜传染病学  (第 4 版).中国农业出版社.</w:t>
      </w:r>
    </w:p>
    <w:p>
      <w:pPr>
        <w:tabs>
          <w:tab w:val="left" w:pos="2826"/>
          <w:tab w:val="left" w:pos="3413"/>
          <w:tab w:val="left" w:pos="5146"/>
          <w:tab w:val="left" w:pos="6800"/>
        </w:tabs>
        <w:autoSpaceDE w:val="0"/>
        <w:autoSpaceDN w:val="0"/>
        <w:adjustRightInd w:val="0"/>
        <w:spacing w:line="360" w:lineRule="auto"/>
        <w:jc w:val="left"/>
        <w:rPr>
          <w:rFonts w:ascii="宋体" w:hAnsi="宋体" w:cs="宋体"/>
          <w:kern w:val="0"/>
          <w:sz w:val="24"/>
          <w:szCs w:val="21"/>
        </w:rPr>
      </w:pPr>
      <w:r>
        <w:rPr>
          <w:rFonts w:hint="eastAsia" w:ascii="宋体" w:hAnsi="宋体" w:cs="宋体"/>
          <w:kern w:val="0"/>
          <w:sz w:val="24"/>
          <w:szCs w:val="21"/>
        </w:rPr>
        <w:t>【8】</w:t>
      </w:r>
      <w:r>
        <w:rPr>
          <w:rFonts w:ascii="宋体" w:hAnsi="宋体" w:cs="宋体"/>
          <w:kern w:val="0"/>
          <w:sz w:val="24"/>
          <w:szCs w:val="21"/>
        </w:rPr>
        <w:t>魏明远等.消毒剂对肠道菌杀灭效果的试验观察.中国消毒学杂志，1998，15（1）：47-49.</w:t>
      </w:r>
    </w:p>
    <w:p>
      <w:pPr>
        <w:tabs>
          <w:tab w:val="left" w:pos="2826"/>
          <w:tab w:val="left" w:pos="3413"/>
          <w:tab w:val="left" w:pos="5146"/>
          <w:tab w:val="left" w:pos="6800"/>
        </w:tabs>
        <w:autoSpaceDE w:val="0"/>
        <w:autoSpaceDN w:val="0"/>
        <w:adjustRightInd w:val="0"/>
        <w:spacing w:line="360" w:lineRule="auto"/>
        <w:jc w:val="left"/>
        <w:rPr>
          <w:rFonts w:ascii="宋体" w:hAnsi="宋体" w:cs="宋体"/>
          <w:kern w:val="0"/>
          <w:sz w:val="24"/>
          <w:szCs w:val="21"/>
        </w:rPr>
      </w:pPr>
      <w:r>
        <w:rPr>
          <w:rFonts w:hint="eastAsia" w:ascii="宋体" w:hAnsi="宋体" w:cs="宋体"/>
          <w:kern w:val="0"/>
          <w:sz w:val="24"/>
          <w:szCs w:val="21"/>
        </w:rPr>
        <w:t>【9】</w:t>
      </w:r>
      <w:r>
        <w:rPr>
          <w:rFonts w:ascii="宋体" w:hAnsi="宋体" w:cs="宋体"/>
          <w:kern w:val="0"/>
          <w:sz w:val="24"/>
          <w:szCs w:val="21"/>
        </w:rPr>
        <w:t>《新城疫检疫技术规范》(SN/T 0764-2011 附录A)</w:t>
      </w:r>
    </w:p>
    <w:p>
      <w:pPr>
        <w:tabs>
          <w:tab w:val="left" w:pos="2826"/>
          <w:tab w:val="left" w:pos="3413"/>
          <w:tab w:val="left" w:pos="5146"/>
          <w:tab w:val="left" w:pos="6800"/>
        </w:tabs>
        <w:autoSpaceDE w:val="0"/>
        <w:autoSpaceDN w:val="0"/>
        <w:adjustRightInd w:val="0"/>
        <w:spacing w:line="360" w:lineRule="auto"/>
        <w:jc w:val="left"/>
        <w:rPr>
          <w:rFonts w:ascii="宋体" w:hAnsi="宋体" w:cs="宋体"/>
          <w:kern w:val="0"/>
          <w:sz w:val="24"/>
          <w:szCs w:val="21"/>
        </w:rPr>
      </w:pPr>
      <w:r>
        <w:rPr>
          <w:rFonts w:hint="eastAsia" w:ascii="宋体" w:hAnsi="宋体" w:cs="宋体"/>
          <w:kern w:val="0"/>
          <w:sz w:val="24"/>
          <w:szCs w:val="21"/>
        </w:rPr>
        <w:t>【10】《动物病原微生物实验活动生物安全要求细则》（农医发[2008]27 号）</w:t>
      </w:r>
    </w:p>
    <w:p>
      <w:pPr>
        <w:tabs>
          <w:tab w:val="left" w:pos="2826"/>
          <w:tab w:val="left" w:pos="3413"/>
          <w:tab w:val="left" w:pos="5146"/>
          <w:tab w:val="left" w:pos="6800"/>
        </w:tabs>
        <w:autoSpaceDE w:val="0"/>
        <w:autoSpaceDN w:val="0"/>
        <w:adjustRightInd w:val="0"/>
        <w:spacing w:line="360" w:lineRule="auto"/>
        <w:jc w:val="left"/>
        <w:rPr>
          <w:rFonts w:ascii="宋体" w:hAnsi="宋体" w:cs="宋体"/>
          <w:kern w:val="0"/>
          <w:sz w:val="24"/>
          <w:szCs w:val="21"/>
        </w:rPr>
      </w:pPr>
      <w:r>
        <w:rPr>
          <w:rFonts w:hint="eastAsia" w:ascii="宋体" w:hAnsi="宋体" w:cs="宋体"/>
          <w:kern w:val="0"/>
          <w:sz w:val="24"/>
          <w:szCs w:val="21"/>
        </w:rPr>
        <w:t>【11】 《检验检疫动物病原微生物实验活动生物安全要求细则》（SN/T 2984-2011）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mp;quot">
    <w:altName w:val="Cambria"/>
    <w:panose1 w:val="00000000000000000000"/>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1532F"/>
    <w:multiLevelType w:val="multilevel"/>
    <w:tmpl w:val="06B1532F"/>
    <w:lvl w:ilvl="0" w:tentative="0">
      <w:start w:val="1"/>
      <w:numFmt w:val="decimal"/>
      <w:lvlText w:val="%1."/>
      <w:lvlJc w:val="left"/>
      <w:pPr>
        <w:ind w:left="0" w:firstLine="0"/>
      </w:pPr>
      <w:rPr>
        <w:rFonts w:hint="default" w:ascii="宋体" w:hAnsi="宋体" w:eastAsia="宋体"/>
        <w:b w:val="0"/>
        <w:sz w:val="24"/>
        <w:szCs w:val="24"/>
      </w:rPr>
    </w:lvl>
    <w:lvl w:ilvl="1" w:tentative="0">
      <w:start w:val="1"/>
      <w:numFmt w:val="decimal"/>
      <w:suff w:val="space"/>
      <w:lvlText w:val="%1.%2."/>
      <w:lvlJc w:val="left"/>
      <w:pPr>
        <w:ind w:left="0" w:firstLine="0"/>
      </w:pPr>
      <w:rPr>
        <w:rFonts w:hint="eastAsia" w:ascii="宋体" w:hAnsi="宋体" w:eastAsia="宋体"/>
        <w:b w:val="0"/>
        <w:i w:val="0"/>
        <w:sz w:val="24"/>
        <w:szCs w:val="24"/>
      </w:rPr>
    </w:lvl>
    <w:lvl w:ilvl="2" w:tentative="0">
      <w:start w:val="1"/>
      <w:numFmt w:val="decimal"/>
      <w:suff w:val="space"/>
      <w:lvlText w:val="%1.%2.%3."/>
      <w:lvlJc w:val="left"/>
      <w:pPr>
        <w:ind w:left="0" w:firstLine="0"/>
      </w:pPr>
      <w:rPr>
        <w:rFonts w:hint="default" w:ascii="宋体" w:hAnsi="宋体" w:eastAsia="宋体"/>
        <w:b w:val="0"/>
        <w:i w:val="0"/>
        <w:sz w:val="24"/>
        <w:szCs w:val="24"/>
      </w:rPr>
    </w:lvl>
    <w:lvl w:ilvl="3" w:tentative="0">
      <w:start w:val="1"/>
      <w:numFmt w:val="decimal"/>
      <w:lvlText w:val="%1.%2.%3.%4."/>
      <w:lvlJc w:val="left"/>
      <w:pPr>
        <w:ind w:left="0" w:firstLine="0"/>
      </w:pPr>
      <w:rPr>
        <w:rFonts w:hint="default"/>
        <w:b w:val="0"/>
      </w:rPr>
    </w:lvl>
    <w:lvl w:ilvl="4" w:tentative="0">
      <w:start w:val="1"/>
      <w:numFmt w:val="decimal"/>
      <w:lvlText w:val="%1.%2.%3.%4.%5."/>
      <w:lvlJc w:val="left"/>
      <w:pPr>
        <w:ind w:left="0" w:firstLine="0"/>
      </w:pPr>
      <w:rPr>
        <w:rFonts w:hint="default"/>
      </w:rPr>
    </w:lvl>
    <w:lvl w:ilvl="5" w:tentative="0">
      <w:start w:val="1"/>
      <w:numFmt w:val="decimal"/>
      <w:lvlText w:val="%1.%2.%3.%4.%5.%6."/>
      <w:lvlJc w:val="left"/>
      <w:pPr>
        <w:ind w:left="0" w:firstLine="0"/>
      </w:pPr>
      <w:rPr>
        <w:rFonts w:hint="default"/>
      </w:rPr>
    </w:lvl>
    <w:lvl w:ilvl="6" w:tentative="0">
      <w:start w:val="1"/>
      <w:numFmt w:val="decimal"/>
      <w:lvlText w:val="%1.%2.%3.%4.%5.%6.%7."/>
      <w:lvlJc w:val="left"/>
      <w:pPr>
        <w:ind w:left="0" w:firstLine="0"/>
      </w:pPr>
      <w:rPr>
        <w:rFonts w:hint="default"/>
      </w:rPr>
    </w:lvl>
    <w:lvl w:ilvl="7" w:tentative="0">
      <w:start w:val="1"/>
      <w:numFmt w:val="decimal"/>
      <w:lvlText w:val="%1.%2.%3.%4.%5.%6.%7.%8."/>
      <w:lvlJc w:val="left"/>
      <w:pPr>
        <w:ind w:left="0" w:firstLine="0"/>
      </w:pPr>
      <w:rPr>
        <w:rFonts w:hint="default"/>
      </w:rPr>
    </w:lvl>
    <w:lvl w:ilvl="8" w:tentative="0">
      <w:start w:val="1"/>
      <w:numFmt w:val="decimal"/>
      <w:lvlText w:val="%1.%2.%3.%4.%5.%6.%7.%8.%9."/>
      <w:lvlJc w:val="left"/>
      <w:pPr>
        <w:ind w:left="0" w:firstLine="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xMjM4ZmUyZmRlYWQyNmIwYzg2ZTEwODlkOGUwOGUifQ=="/>
  </w:docVars>
  <w:rsids>
    <w:rsidRoot w:val="007957E7"/>
    <w:rsid w:val="0002694D"/>
    <w:rsid w:val="000379AC"/>
    <w:rsid w:val="000416AB"/>
    <w:rsid w:val="000A0897"/>
    <w:rsid w:val="000A28E5"/>
    <w:rsid w:val="000A68DF"/>
    <w:rsid w:val="000B1188"/>
    <w:rsid w:val="000B5657"/>
    <w:rsid w:val="000C5CAC"/>
    <w:rsid w:val="000E1457"/>
    <w:rsid w:val="00144B8B"/>
    <w:rsid w:val="00155CB3"/>
    <w:rsid w:val="00161218"/>
    <w:rsid w:val="0016466E"/>
    <w:rsid w:val="00194E09"/>
    <w:rsid w:val="001B1E00"/>
    <w:rsid w:val="001B45C0"/>
    <w:rsid w:val="001B4B3C"/>
    <w:rsid w:val="001D5E50"/>
    <w:rsid w:val="001F2AC7"/>
    <w:rsid w:val="00223167"/>
    <w:rsid w:val="00257658"/>
    <w:rsid w:val="002723D4"/>
    <w:rsid w:val="002804C0"/>
    <w:rsid w:val="00292D4A"/>
    <w:rsid w:val="002A496B"/>
    <w:rsid w:val="00332447"/>
    <w:rsid w:val="00333C99"/>
    <w:rsid w:val="003441E1"/>
    <w:rsid w:val="003605F2"/>
    <w:rsid w:val="0036323B"/>
    <w:rsid w:val="0036437C"/>
    <w:rsid w:val="00374671"/>
    <w:rsid w:val="003915E5"/>
    <w:rsid w:val="003C6CB4"/>
    <w:rsid w:val="003D0564"/>
    <w:rsid w:val="003D56DC"/>
    <w:rsid w:val="003E3222"/>
    <w:rsid w:val="003F4B3E"/>
    <w:rsid w:val="00404484"/>
    <w:rsid w:val="00411013"/>
    <w:rsid w:val="004769BB"/>
    <w:rsid w:val="004860FE"/>
    <w:rsid w:val="004B43E1"/>
    <w:rsid w:val="004B5A38"/>
    <w:rsid w:val="004F08A2"/>
    <w:rsid w:val="00515942"/>
    <w:rsid w:val="005249B6"/>
    <w:rsid w:val="005556FE"/>
    <w:rsid w:val="00555726"/>
    <w:rsid w:val="00581E92"/>
    <w:rsid w:val="00585AEA"/>
    <w:rsid w:val="005B7EB6"/>
    <w:rsid w:val="005E4A4D"/>
    <w:rsid w:val="005E5790"/>
    <w:rsid w:val="005E57D0"/>
    <w:rsid w:val="00664148"/>
    <w:rsid w:val="00673BD5"/>
    <w:rsid w:val="006F3FB4"/>
    <w:rsid w:val="00752861"/>
    <w:rsid w:val="00763199"/>
    <w:rsid w:val="007657E8"/>
    <w:rsid w:val="00791FD4"/>
    <w:rsid w:val="007957E7"/>
    <w:rsid w:val="007960B4"/>
    <w:rsid w:val="007C7A06"/>
    <w:rsid w:val="007E2B6A"/>
    <w:rsid w:val="00842DF5"/>
    <w:rsid w:val="00860B89"/>
    <w:rsid w:val="008814DF"/>
    <w:rsid w:val="008D142E"/>
    <w:rsid w:val="008E164E"/>
    <w:rsid w:val="008F3767"/>
    <w:rsid w:val="00902629"/>
    <w:rsid w:val="00914E35"/>
    <w:rsid w:val="00927229"/>
    <w:rsid w:val="00935C22"/>
    <w:rsid w:val="00947D70"/>
    <w:rsid w:val="00985F8A"/>
    <w:rsid w:val="009F026F"/>
    <w:rsid w:val="009F1A8C"/>
    <w:rsid w:val="00A05FD8"/>
    <w:rsid w:val="00A9226D"/>
    <w:rsid w:val="00AA1362"/>
    <w:rsid w:val="00AC7787"/>
    <w:rsid w:val="00AC797A"/>
    <w:rsid w:val="00AE6C9C"/>
    <w:rsid w:val="00AF44E7"/>
    <w:rsid w:val="00B35D3A"/>
    <w:rsid w:val="00B60FB0"/>
    <w:rsid w:val="00B72EFC"/>
    <w:rsid w:val="00B7619A"/>
    <w:rsid w:val="00BB34D8"/>
    <w:rsid w:val="00C32C5B"/>
    <w:rsid w:val="00C4016B"/>
    <w:rsid w:val="00C4044E"/>
    <w:rsid w:val="00C43496"/>
    <w:rsid w:val="00C4655F"/>
    <w:rsid w:val="00C46E32"/>
    <w:rsid w:val="00C56BE9"/>
    <w:rsid w:val="00C675EA"/>
    <w:rsid w:val="00C8466F"/>
    <w:rsid w:val="00CC0D2C"/>
    <w:rsid w:val="00CD27A1"/>
    <w:rsid w:val="00D05C78"/>
    <w:rsid w:val="00D07C77"/>
    <w:rsid w:val="00D24C7C"/>
    <w:rsid w:val="00D403D1"/>
    <w:rsid w:val="00D517D6"/>
    <w:rsid w:val="00D77620"/>
    <w:rsid w:val="00D933B5"/>
    <w:rsid w:val="00DC5B30"/>
    <w:rsid w:val="00E17551"/>
    <w:rsid w:val="00E25B52"/>
    <w:rsid w:val="00E2716A"/>
    <w:rsid w:val="00E76548"/>
    <w:rsid w:val="00E7664B"/>
    <w:rsid w:val="00EA2D63"/>
    <w:rsid w:val="00ED1000"/>
    <w:rsid w:val="00EE6D73"/>
    <w:rsid w:val="00EF041A"/>
    <w:rsid w:val="00F351F0"/>
    <w:rsid w:val="00F47DAF"/>
    <w:rsid w:val="00FA3A71"/>
    <w:rsid w:val="00FC35A7"/>
    <w:rsid w:val="00FD0F50"/>
    <w:rsid w:val="00FE1ED1"/>
    <w:rsid w:val="00FF4847"/>
    <w:rsid w:val="07292F1E"/>
    <w:rsid w:val="20CD69B4"/>
    <w:rsid w:val="42AC50F0"/>
    <w:rsid w:val="76766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11"/>
    <w:autoRedefine/>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12"/>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Normal (Web)"/>
    <w:basedOn w:val="1"/>
    <w:autoRedefine/>
    <w:unhideWhenUsed/>
    <w:uiPriority w:val="99"/>
    <w:pPr>
      <w:widowControl/>
      <w:spacing w:before="100" w:beforeAutospacing="1" w:after="100" w:afterAutospacing="1"/>
      <w:jc w:val="left"/>
    </w:pPr>
    <w:rPr>
      <w:rFonts w:ascii="宋体" w:hAnsi="宋体" w:cs="宋体"/>
      <w:kern w:val="0"/>
      <w:sz w:val="24"/>
    </w:rPr>
  </w:style>
  <w:style w:type="table" w:styleId="7">
    <w:name w:val="Table Grid"/>
    <w:basedOn w:val="6"/>
    <w:autoRedefine/>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autoRedefine/>
    <w:semiHidden/>
    <w:unhideWhenUsed/>
    <w:uiPriority w:val="99"/>
    <w:rPr>
      <w:color w:val="0000FF"/>
      <w:u w:val="single"/>
    </w:rPr>
  </w:style>
  <w:style w:type="character" w:customStyle="1" w:styleId="10">
    <w:name w:val="标题 1 Char"/>
    <w:basedOn w:val="8"/>
    <w:link w:val="2"/>
    <w:autoRedefine/>
    <w:uiPriority w:val="9"/>
    <w:rPr>
      <w:rFonts w:ascii="Calibri" w:hAnsi="Calibri" w:eastAsia="宋体" w:cs="Times New Roman"/>
      <w:b/>
      <w:bCs/>
      <w:kern w:val="44"/>
      <w:sz w:val="44"/>
      <w:szCs w:val="44"/>
    </w:rPr>
  </w:style>
  <w:style w:type="character" w:customStyle="1" w:styleId="11">
    <w:name w:val="标题 2 Char"/>
    <w:basedOn w:val="8"/>
    <w:link w:val="3"/>
    <w:uiPriority w:val="9"/>
    <w:rPr>
      <w:rFonts w:ascii="Cambria" w:hAnsi="Cambria" w:eastAsia="宋体" w:cs="Times New Roman"/>
      <w:b/>
      <w:bCs/>
      <w:sz w:val="32"/>
      <w:szCs w:val="32"/>
    </w:rPr>
  </w:style>
  <w:style w:type="character" w:customStyle="1" w:styleId="12">
    <w:name w:val="标题 3 Char"/>
    <w:basedOn w:val="8"/>
    <w:link w:val="4"/>
    <w:autoRedefine/>
    <w:uiPriority w:val="9"/>
    <w:rPr>
      <w:rFonts w:ascii="Calibri" w:hAnsi="Calibri" w:eastAsia="宋体" w:cs="Times New Roman"/>
      <w:b/>
      <w:bCs/>
      <w:sz w:val="32"/>
      <w:szCs w:val="32"/>
    </w:rPr>
  </w:style>
  <w:style w:type="paragraph" w:customStyle="1" w:styleId="13">
    <w:name w:val="样式 5 三号"/>
    <w:autoRedefine/>
    <w:uiPriority w:val="0"/>
    <w:pPr>
      <w:widowControl w:val="0"/>
      <w:jc w:val="both"/>
    </w:pPr>
    <w:rPr>
      <w:rFonts w:ascii="Times New Roman" w:hAnsi="Times New Roman" w:eastAsia="方正仿宋_GBK" w:cs="Times New Roman"/>
      <w:kern w:val="2"/>
      <w:sz w:val="32"/>
      <w:szCs w:val="20"/>
      <w:lang w:val="en-US" w:eastAsia="zh-CN" w:bidi="ar-SA"/>
    </w:rPr>
  </w:style>
  <w:style w:type="character" w:customStyle="1" w:styleId="14">
    <w:name w:val="apple-converted-space"/>
    <w:basedOn w:val="8"/>
    <w:autoRedefine/>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1627</Words>
  <Characters>9276</Characters>
  <Lines>77</Lines>
  <Paragraphs>21</Paragraphs>
  <TotalTime>1</TotalTime>
  <ScaleCrop>false</ScaleCrop>
  <LinksUpToDate>false</LinksUpToDate>
  <CharactersWithSpaces>10882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2020-06-23T10:50:00Z</dcterms:created>
  <dc:creator>微软用户</dc:creator>
  <cp:lastModifiedBy>Sufen Chen</cp:lastModifiedBy>
  <cp:lastPrinted>2020-06-24T06:33:00Z</cp:lastPrinted>
  <dcterms:modified xsi:type="dcterms:W3CDTF">2024-06-14T03:43:03Z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032DBD98AEFC4862B840080CCBF6F7B6_13</vt:lpwstr>
  </property>
</Properties>
</file>